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0903BA">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THE CAUSES AND EFFECTS OF INDISCRIMINATE REFUSE DUMPING IN CALABAR METROPOLIS</w:t>
      </w:r>
    </w:p>
    <w:p w14:paraId="23D173B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¹Oqua Efa Etim, ²Ayitu Brown Enyogu, </w:t>
      </w:r>
      <w:r>
        <w:rPr>
          <w:rFonts w:ascii="Times New Roman" w:hAnsi="Times New Roman" w:cs="Times New Roman"/>
          <w:sz w:val="24"/>
          <w:szCs w:val="24"/>
          <w:vertAlign w:val="superscript"/>
        </w:rPr>
        <w:t>3</w:t>
      </w:r>
      <w:r>
        <w:rPr>
          <w:rFonts w:ascii="Times New Roman" w:hAnsi="Times New Roman" w:cs="Times New Roman"/>
          <w:sz w:val="24"/>
          <w:szCs w:val="24"/>
        </w:rPr>
        <w:t>Udo Iberedem Edem</w:t>
      </w:r>
    </w:p>
    <w:p w14:paraId="46489ED8">
      <w:pPr>
        <w:spacing w:after="0" w:line="480" w:lineRule="auto"/>
        <w:jc w:val="center"/>
        <w:rPr>
          <w:rFonts w:ascii="Times New Roman" w:hAnsi="Times New Roman" w:cs="Times New Roman"/>
          <w:sz w:val="24"/>
          <w:szCs w:val="24"/>
        </w:rPr>
      </w:pPr>
      <w:r>
        <w:rPr>
          <w:rFonts w:ascii="Times New Roman" w:hAnsi="Times New Roman" w:cs="Times New Roman"/>
          <w:sz w:val="24"/>
          <w:szCs w:val="24"/>
          <w:vertAlign w:val="superscript"/>
        </w:rPr>
        <w:t>¹&amp;2</w:t>
      </w:r>
      <w:r>
        <w:rPr>
          <w:rFonts w:ascii="Times New Roman" w:hAnsi="Times New Roman" w:cs="Times New Roman"/>
          <w:sz w:val="24"/>
          <w:szCs w:val="24"/>
        </w:rPr>
        <w:t xml:space="preserve">Department of Environmental Science and Management Technology, Federal Polytechnic Ukana, Akwa Ibom State, </w:t>
      </w:r>
      <w:r>
        <w:rPr>
          <w:rFonts w:ascii="Times New Roman" w:hAnsi="Times New Roman" w:cs="Times New Roman"/>
          <w:sz w:val="24"/>
          <w:szCs w:val="24"/>
          <w:vertAlign w:val="superscript"/>
        </w:rPr>
        <w:t>3</w:t>
      </w:r>
      <w:r>
        <w:rPr>
          <w:rFonts w:ascii="Times New Roman" w:hAnsi="Times New Roman" w:cs="Times New Roman"/>
          <w:sz w:val="24"/>
          <w:szCs w:val="24"/>
        </w:rPr>
        <w:t>Geography and Natural resource management, University of Uyo</w:t>
      </w:r>
    </w:p>
    <w:p w14:paraId="354E54ED">
      <w:pPr>
        <w:spacing w:after="0" w:line="480" w:lineRule="auto"/>
        <w:jc w:val="center"/>
        <w:rPr>
          <w:rFonts w:ascii="Times New Roman" w:hAnsi="Times New Roman" w:cs="Times New Roman"/>
          <w:b/>
          <w:sz w:val="24"/>
          <w:szCs w:val="24"/>
        </w:rPr>
      </w:pPr>
      <w:r>
        <w:rPr>
          <w:rFonts w:ascii="Times New Roman" w:hAnsi="Times New Roman" w:cs="Times New Roman"/>
          <w:sz w:val="24"/>
          <w:szCs w:val="24"/>
        </w:rPr>
        <w:t>Corresponding email: oqua</w:t>
      </w:r>
      <w:r>
        <w:rPr>
          <w:rFonts w:ascii="Times New Roman" w:hAnsi="Times New Roman" w:cs="Times New Roman"/>
          <w:sz w:val="24"/>
          <w:szCs w:val="24"/>
          <w:lang w:val="en-US"/>
        </w:rPr>
        <w:t>efaetim@gmail.com</w:t>
      </w:r>
    </w:p>
    <w:p w14:paraId="2DF55CC8">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Abstract</w:t>
      </w:r>
    </w:p>
    <w:p w14:paraId="49A75A3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Indiscriminate refuse dumping remains a major environmental and public health challenge in urban Nigeria.</w:t>
      </w:r>
    </w:p>
    <w:p w14:paraId="6078F9C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Huge piles of waste, old household items, construction debris, and used products are commonly dumped by roadsides, in gutters, and at non-designated sites.</w:t>
      </w:r>
    </w:p>
    <w:p w14:paraId="5FFF468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This study examined the causes and effects of indiscriminate refuse dumping in Big Qua community, Calabar Municipality Local Government Area, Cross River State. </w:t>
      </w:r>
    </w:p>
    <w:p w14:paraId="7B4C894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A descriptive research method was adopted and a sample size of 399 respondents was randomly selected from various settlements in the community. </w:t>
      </w:r>
    </w:p>
    <w:p w14:paraId="659E69D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Questionnaires were used to collect data. The reliability testing was conducted using the Pearson Product Moment Correlation Coefficient and produced a reliability coefficient of 0.85. Data obtained from respondents were analysed through a non-parametric method (chi-square). </w:t>
      </w:r>
    </w:p>
    <w:p w14:paraId="37BB28D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Three hypotheses were formulated and tested. All were rejected. This means that the negative effects of indiscriminate refuse dumping impact human health and the environment, including disease outbreak and increased flooding. It was also discovered that indiscriminate dumping of refuse is caused by negative attitudes and poor waste disposal practices.</w:t>
      </w:r>
    </w:p>
    <w:p w14:paraId="38371B0E">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As a measure to address most of the findings, the study advocates that the intensification of public education on the value and effects of proper management of waste should be sustained.</w:t>
      </w:r>
    </w:p>
    <w:p w14:paraId="63549B8E">
      <w:pPr>
        <w:spacing w:after="0" w:line="480" w:lineRule="auto"/>
        <w:jc w:val="both"/>
        <w:rPr>
          <w:rFonts w:ascii="Times New Roman" w:hAnsi="Times New Roman" w:cs="Times New Roman"/>
          <w:sz w:val="24"/>
          <w:szCs w:val="24"/>
        </w:rPr>
      </w:pPr>
      <w:r>
        <w:rPr>
          <w:rFonts w:ascii="Times New Roman" w:hAnsi="Times New Roman" w:cs="Times New Roman"/>
          <w:sz w:val="24"/>
          <w:szCs w:val="24"/>
        </w:rPr>
        <w:t>Sanctions should be enforced on violators. Abandoned lands should be developed. Waste management agencies should be equipped to function effectively across all communities.</w:t>
      </w:r>
    </w:p>
    <w:p w14:paraId="65776FAA">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Keywords:</w:t>
      </w:r>
      <w:r>
        <w:rPr>
          <w:rFonts w:ascii="Times New Roman" w:hAnsi="Times New Roman" w:cs="Times New Roman"/>
          <w:sz w:val="24"/>
          <w:szCs w:val="24"/>
        </w:rPr>
        <w:t xml:space="preserve"> Indiscriminate refuse dumping, Waste management, Public health, Waste disposal practices, Big Qua community.</w:t>
      </w:r>
    </w:p>
    <w:p w14:paraId="53D6B53F">
      <w:pPr>
        <w:spacing w:after="0" w:line="480" w:lineRule="auto"/>
        <w:jc w:val="both"/>
        <w:rPr>
          <w:rFonts w:ascii="Times New Roman" w:hAnsi="Times New Roman" w:cs="Times New Roman"/>
          <w:sz w:val="24"/>
          <w:szCs w:val="24"/>
        </w:rPr>
      </w:pPr>
    </w:p>
    <w:p w14:paraId="562A108F">
      <w:pPr>
        <w:pStyle w:val="13"/>
        <w:numPr>
          <w:ilvl w:val="0"/>
          <w:numId w:val="1"/>
        </w:numPr>
        <w:spacing w:after="0" w:line="480" w:lineRule="auto"/>
        <w:jc w:val="both"/>
        <w:rPr>
          <w:rFonts w:ascii="Times New Roman" w:hAnsi="Times New Roman" w:cs="Times New Roman"/>
          <w:color w:val="161F19"/>
          <w:sz w:val="24"/>
          <w:szCs w:val="24"/>
          <w:shd w:val="clear" w:color="auto" w:fill="FFFFFF"/>
        </w:rPr>
      </w:pPr>
      <w:r>
        <w:rPr>
          <w:rFonts w:ascii="Times New Roman" w:hAnsi="Times New Roman" w:cs="Times New Roman"/>
          <w:b/>
          <w:sz w:val="24"/>
          <w:szCs w:val="24"/>
        </w:rPr>
        <w:t xml:space="preserve">Introduction </w:t>
      </w:r>
      <w:r>
        <w:rPr>
          <w:rFonts w:ascii="Times New Roman" w:hAnsi="Times New Roman" w:cs="Times New Roman"/>
          <w:color w:val="161F19"/>
          <w:sz w:val="24"/>
          <w:szCs w:val="24"/>
          <w:shd w:val="clear" w:color="auto" w:fill="FFFFFF"/>
        </w:rPr>
        <w:t xml:space="preserve"> </w:t>
      </w:r>
    </w:p>
    <w:p w14:paraId="1773EA87">
      <w:pPr>
        <w:spacing w:after="0" w:line="480" w:lineRule="auto"/>
        <w:jc w:val="both"/>
        <w:rPr>
          <w:rFonts w:ascii="Times New Roman" w:hAnsi="Times New Roman" w:cs="Times New Roman"/>
          <w:b/>
          <w:sz w:val="24"/>
          <w:szCs w:val="24"/>
        </w:rPr>
      </w:pPr>
      <w:r>
        <w:rPr>
          <w:rFonts w:ascii="Times New Roman" w:hAnsi="Times New Roman" w:cs="Times New Roman"/>
          <w:color w:val="161F19"/>
          <w:sz w:val="24"/>
          <w:szCs w:val="24"/>
          <w:shd w:val="clear" w:color="auto" w:fill="FFFFFF"/>
        </w:rPr>
        <w:t>I</w:t>
      </w:r>
      <w:r>
        <w:rPr>
          <w:rFonts w:ascii="Times New Roman" w:hAnsi="Times New Roman" w:cs="Times New Roman"/>
          <w:color w:val="161F19"/>
          <w:sz w:val="24"/>
          <w:szCs w:val="24"/>
          <w:shd w:val="clear" w:color="auto" w:fill="FFFFFF"/>
        </w:rPr>
        <w:t xml:space="preserve">n many developing nations, particularly Nigeria, improper solid waste disposal has become a daunting task and a threat to the environment. </w:t>
      </w:r>
    </w:p>
    <w:p w14:paraId="2AD14234">
      <w:pPr>
        <w:spacing w:after="0" w:line="480" w:lineRule="auto"/>
        <w:jc w:val="both"/>
        <w:rPr>
          <w:rFonts w:ascii="Times New Roman" w:hAnsi="Times New Roman" w:cs="Times New Roman"/>
          <w:color w:val="161F19"/>
          <w:sz w:val="24"/>
          <w:szCs w:val="24"/>
          <w:shd w:val="clear" w:color="auto" w:fill="FFFFFF"/>
        </w:rPr>
      </w:pPr>
      <w:r>
        <w:rPr>
          <w:rFonts w:ascii="Times New Roman" w:hAnsi="Times New Roman" w:cs="Times New Roman"/>
          <w:sz w:val="24"/>
          <w:szCs w:val="24"/>
          <w:shd w:val="clear" w:color="auto" w:fill="FFFFFF"/>
        </w:rPr>
        <w:t xml:space="preserve">This phenomenon, known as </w:t>
      </w:r>
      <w:r>
        <w:rPr>
          <w:rFonts w:ascii="Times New Roman" w:hAnsi="Times New Roman" w:cs="Times New Roman"/>
          <w:b w:val="0"/>
          <w:bCs w:val="0"/>
          <w:sz w:val="24"/>
          <w:szCs w:val="24"/>
          <w:shd w:val="clear" w:color="auto" w:fill="FFFFFF"/>
        </w:rPr>
        <w:t>indiscriminate dumping,</w:t>
      </w:r>
      <w:r>
        <w:rPr>
          <w:rFonts w:ascii="Times New Roman" w:hAnsi="Times New Roman" w:cs="Times New Roman"/>
          <w:sz w:val="24"/>
          <w:szCs w:val="24"/>
          <w:shd w:val="clear" w:color="auto" w:fill="FFFFFF"/>
        </w:rPr>
        <w:t xml:space="preserve"> refers to the disposal of waste items in unauthorized locations without consideration for</w:t>
      </w:r>
      <w:r>
        <w:rPr>
          <w:rFonts w:ascii="Times New Roman" w:hAnsi="Times New Roman" w:cs="Times New Roman"/>
          <w:sz w:val="24"/>
          <w:szCs w:val="24"/>
          <w:shd w:val="clear" w:color="auto" w:fill="FFFFFF"/>
        </w:rPr>
        <w:t xml:space="preserve"> environmental or health codes.</w:t>
      </w:r>
    </w:p>
    <w:p w14:paraId="02C30E34">
      <w:pPr>
        <w:spacing w:after="0" w:line="480" w:lineRule="auto"/>
        <w:jc w:val="both"/>
        <w:rPr>
          <w:rFonts w:ascii="Times New Roman" w:hAnsi="Times New Roman" w:cs="Times New Roman"/>
          <w:color w:val="161F19"/>
          <w:sz w:val="24"/>
          <w:szCs w:val="24"/>
          <w:shd w:val="clear" w:color="auto" w:fill="FFFFFF"/>
        </w:rPr>
      </w:pPr>
      <w:r>
        <w:rPr>
          <w:rFonts w:ascii="Times New Roman" w:hAnsi="Times New Roman" w:cs="Times New Roman"/>
          <w:color w:val="161F19"/>
          <w:sz w:val="24"/>
          <w:szCs w:val="24"/>
          <w:shd w:val="clear" w:color="auto" w:fill="FFFFFF"/>
        </w:rPr>
        <w:t xml:space="preserve">It </w:t>
      </w:r>
      <w:r>
        <w:rPr>
          <w:rFonts w:ascii="Times New Roman" w:hAnsi="Times New Roman" w:cs="Times New Roman"/>
          <w:color w:val="161F19"/>
          <w:sz w:val="24"/>
          <w:szCs w:val="24"/>
          <w:shd w:val="clear" w:color="auto" w:fill="FFFFFF"/>
        </w:rPr>
        <w:t>is prevalent in roadside, drainage, op</w:t>
      </w:r>
      <w:r>
        <w:rPr>
          <w:rFonts w:ascii="Times New Roman" w:hAnsi="Times New Roman" w:cs="Times New Roman"/>
          <w:color w:val="161F19"/>
          <w:sz w:val="24"/>
          <w:szCs w:val="24"/>
          <w:shd w:val="clear" w:color="auto" w:fill="FFFFFF"/>
        </w:rPr>
        <w:t>en spaces and abandoned</w:t>
      </w:r>
      <w:r>
        <w:rPr>
          <w:rFonts w:ascii="Times New Roman" w:hAnsi="Times New Roman" w:cs="Times New Roman"/>
          <w:color w:val="161F19"/>
          <w:sz w:val="24"/>
          <w:szCs w:val="24"/>
          <w:shd w:val="clear" w:color="auto" w:fill="FFFFFF"/>
        </w:rPr>
        <w:t xml:space="preserve"> sites. This leads to environmental degradation, drainage blockage, flooding, bad odour, and the spread of infectious diseases. </w:t>
      </w:r>
    </w:p>
    <w:p w14:paraId="3BA13B9F">
      <w:pPr>
        <w:spacing w:after="0" w:line="480" w:lineRule="auto"/>
        <w:ind w:firstLine="720"/>
        <w:jc w:val="both"/>
        <w:rPr>
          <w:rFonts w:ascii="Times New Roman" w:hAnsi="Times New Roman" w:cs="Times New Roman"/>
          <w:sz w:val="24"/>
          <w:szCs w:val="24"/>
        </w:rPr>
      </w:pPr>
      <w:r>
        <w:rPr>
          <w:rFonts w:ascii="Times New Roman" w:hAnsi="Times New Roman" w:cs="Times New Roman"/>
          <w:color w:val="161F19"/>
          <w:sz w:val="24"/>
          <w:szCs w:val="24"/>
          <w:shd w:val="clear" w:color="auto" w:fill="FFFFFF"/>
        </w:rPr>
        <w:t xml:space="preserve">In </w:t>
      </w:r>
      <w:r>
        <w:rPr>
          <w:rFonts w:ascii="Times New Roman" w:hAnsi="Times New Roman" w:cs="Times New Roman"/>
          <w:color w:val="161F19"/>
          <w:sz w:val="24"/>
          <w:szCs w:val="24"/>
          <w:shd w:val="clear" w:color="auto" w:fill="FFFFFF"/>
        </w:rPr>
        <w:t>Calabar</w:t>
      </w:r>
      <w:r>
        <w:rPr>
          <w:rFonts w:ascii="Times New Roman" w:hAnsi="Times New Roman" w:cs="Times New Roman"/>
          <w:color w:val="161F19"/>
          <w:sz w:val="24"/>
          <w:szCs w:val="24"/>
          <w:shd w:val="clear" w:color="auto" w:fill="FFFFFF"/>
        </w:rPr>
        <w:t xml:space="preserve"> Metropolis, rapid population growth and urbanization has increased waste generation without improvements in waste management systems. In several areas of </w:t>
      </w:r>
      <w:r>
        <w:rPr>
          <w:rFonts w:ascii="Times New Roman" w:hAnsi="Times New Roman" w:cs="Times New Roman"/>
          <w:color w:val="161F19"/>
          <w:sz w:val="24"/>
          <w:szCs w:val="24"/>
          <w:shd w:val="clear" w:color="auto" w:fill="FFFFFF"/>
        </w:rPr>
        <w:t>Calabar</w:t>
      </w:r>
      <w:r>
        <w:rPr>
          <w:rFonts w:ascii="Times New Roman" w:hAnsi="Times New Roman" w:cs="Times New Roman"/>
          <w:color w:val="161F19"/>
          <w:sz w:val="24"/>
          <w:szCs w:val="24"/>
          <w:shd w:val="clear" w:color="auto" w:fill="FFFFFF"/>
        </w:rPr>
        <w:t xml:space="preserve"> Municipality, refuse dumps remain unattended, and waste removal services are provided </w:t>
      </w:r>
      <w:r>
        <w:rPr>
          <w:rFonts w:ascii="Times New Roman" w:hAnsi="Times New Roman" w:cs="Times New Roman"/>
          <w:color w:val="161F19"/>
          <w:sz w:val="24"/>
          <w:szCs w:val="24"/>
          <w:shd w:val="clear" w:color="auto" w:fill="FFFFFF"/>
        </w:rPr>
        <w:t>sporadically. Consequently, the residents have to engage in open refuse disposal, burning and burying waste. Poor waste management has been proven to result in environmental pollution, drainage blockage, and health risks and diseases including cholera and typhoid.</w:t>
      </w:r>
    </w:p>
    <w:p w14:paraId="4989A8FD">
      <w:pPr>
        <w:spacing w:after="0" w:line="480" w:lineRule="auto"/>
        <w:ind w:firstLine="720"/>
        <w:jc w:val="both"/>
        <w:rPr>
          <w:rFonts w:ascii="Times New Roman" w:hAnsi="Times New Roman" w:cs="Times New Roman"/>
          <w:b/>
          <w:sz w:val="24"/>
          <w:szCs w:val="24"/>
        </w:rPr>
      </w:pPr>
      <w:r>
        <w:rPr>
          <w:rFonts w:ascii="Times New Roman" w:hAnsi="Times New Roman" w:cs="Times New Roman"/>
          <w:sz w:val="24"/>
          <w:szCs w:val="24"/>
        </w:rPr>
        <w:t xml:space="preserve">The production of municipal solid waste (MSW) represents one of the greatest challenges currently faced by waste managers all around the world. </w:t>
      </w:r>
    </w:p>
    <w:p w14:paraId="47C47FBE">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1.2 Statement of the Problem</w:t>
      </w:r>
    </w:p>
    <w:p w14:paraId="09E45EB7">
      <w:pPr>
        <w:spacing w:after="0" w:line="480" w:lineRule="auto"/>
        <w:jc w:val="both"/>
        <w:rPr>
          <w:rFonts w:ascii="Times New Roman" w:hAnsi="Times New Roman" w:cs="Times New Roman"/>
          <w:sz w:val="24"/>
          <w:szCs w:val="24"/>
        </w:rPr>
      </w:pPr>
      <w:r>
        <w:rPr>
          <w:rFonts w:ascii="Times New Roman" w:hAnsi="Times New Roman" w:cs="Times New Roman"/>
          <w:sz w:val="24"/>
          <w:szCs w:val="24"/>
          <w:lang w:val="en-US"/>
        </w:rPr>
        <w:t>Production and consumption of resources has led to the prominent problem of solid waste generation and management in diverse parts of the world.</w:t>
      </w:r>
      <w:r>
        <w:rPr>
          <w:rFonts w:ascii="Times New Roman" w:hAnsi="Times New Roman" w:cs="Times New Roman"/>
          <w:sz w:val="24"/>
          <w:szCs w:val="24"/>
        </w:rPr>
        <w:t xml:space="preserve"> </w:t>
      </w:r>
      <w:r>
        <w:rPr>
          <w:rFonts w:ascii="Times New Roman" w:hAnsi="Times New Roman" w:cs="Times New Roman"/>
          <w:sz w:val="24"/>
          <w:szCs w:val="24"/>
          <w:lang w:val="en-US"/>
        </w:rPr>
        <w:t>The quiet part of Big Qua such as Atekong and Diamond streets do not benefit from public waste disposal services and therefore, have to bury or burn their waste or dispose it haphazardly</w:t>
      </w:r>
    </w:p>
    <w:p w14:paraId="1567B044">
      <w:p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 treatment and recycling of waste is negligible while methods of storage, collection, transportation, compaction and final disposal are very unsatisfactory.</w:t>
      </w:r>
    </w:p>
    <w:p w14:paraId="052A1014">
      <w:pPr>
        <w:snapToGrid/>
        <w:spacing w:after="0" w:line="48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1.3 Objectives of the study</w:t>
      </w:r>
    </w:p>
    <w:p w14:paraId="1D7F31D5">
      <w:pPr>
        <w:snapToGrid/>
        <w:spacing w:line="480" w:lineRule="auto"/>
        <w:jc w:val="both"/>
        <w:rPr>
          <w:rFonts w:ascii="Times New Roman" w:hAnsi="Times New Roman" w:cs="Times New Roman"/>
          <w:sz w:val="24"/>
          <w:szCs w:val="24"/>
        </w:rPr>
      </w:pPr>
      <w:r>
        <w:rPr>
          <w:rFonts w:ascii="Times New Roman" w:hAnsi="Times New Roman" w:cs="Times New Roman"/>
          <w:sz w:val="24"/>
          <w:szCs w:val="24"/>
          <w:lang w:val="en-US"/>
        </w:rPr>
        <w:t>The aim of the study is to investigate the indiscriminate dumping of refuse in Big Qua and its adverse effect on human health, environment and aesthetics.</w:t>
      </w:r>
    </w:p>
    <w:p w14:paraId="3E08F3A2">
      <w:pPr>
        <w:spacing w:line="480" w:lineRule="auto"/>
        <w:jc w:val="both"/>
        <w:rPr>
          <w:rFonts w:ascii="Times New Roman" w:hAnsi="Times New Roman" w:cs="Times New Roman"/>
          <w:sz w:val="24"/>
          <w:szCs w:val="24"/>
        </w:rPr>
      </w:pPr>
      <w:r>
        <w:rPr>
          <w:rFonts w:ascii="Times New Roman" w:hAnsi="Times New Roman" w:cs="Times New Roman"/>
          <w:sz w:val="24"/>
          <w:szCs w:val="24"/>
          <w:lang w:val="en-US"/>
        </w:rPr>
        <w:t>Objectives are as follows;</w:t>
      </w:r>
    </w:p>
    <w:p w14:paraId="5955B101">
      <w:pPr>
        <w:pStyle w:val="13"/>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lang w:val="en-US"/>
        </w:rPr>
        <w:t>To identify the cause</w:t>
      </w:r>
      <w:r>
        <w:rPr>
          <w:rFonts w:ascii="Times New Roman" w:hAnsi="Times New Roman" w:cs="Times New Roman"/>
          <w:sz w:val="24"/>
          <w:szCs w:val="24"/>
        </w:rPr>
        <w:t xml:space="preserve"> of </w:t>
      </w:r>
      <w:r>
        <w:rPr>
          <w:rFonts w:ascii="Times New Roman" w:hAnsi="Times New Roman" w:cs="Times New Roman"/>
          <w:sz w:val="24"/>
          <w:szCs w:val="24"/>
          <w:lang w:val="en-US"/>
        </w:rPr>
        <w:t>indiscriminate refuse dumping in Big Qua Community.</w:t>
      </w:r>
    </w:p>
    <w:p w14:paraId="60F29C37">
      <w:pPr>
        <w:pStyle w:val="13"/>
        <w:numPr>
          <w:ilvl w:val="0"/>
          <w:numId w:val="2"/>
        </w:num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To examine the effects of poor waste disposal on human health and the environment.</w:t>
      </w:r>
    </w:p>
    <w:p w14:paraId="110B61BA">
      <w:pPr>
        <w:pStyle w:val="13"/>
        <w:numPr>
          <w:ilvl w:val="0"/>
          <w:numId w:val="2"/>
        </w:num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To </w:t>
      </w:r>
      <w:r>
        <w:rPr>
          <w:rFonts w:ascii="Times New Roman" w:hAnsi="Times New Roman" w:cs="Times New Roman"/>
          <w:color w:val="161F19"/>
          <w:sz w:val="24"/>
          <w:szCs w:val="24"/>
          <w:shd w:val="clear" w:color="auto" w:fill="FFFFFF"/>
        </w:rPr>
        <w:t>s</w:t>
      </w:r>
      <w:r>
        <w:rPr>
          <w:rFonts w:ascii="Times New Roman" w:hAnsi="Times New Roman" w:cs="Times New Roman"/>
          <w:color w:val="161F19"/>
          <w:sz w:val="24"/>
          <w:szCs w:val="24"/>
          <w:shd w:val="clear" w:color="auto" w:fill="FFFFFF"/>
        </w:rPr>
        <w:t xml:space="preserve">uggest measures for improving waste management in the study area. </w:t>
      </w:r>
    </w:p>
    <w:p w14:paraId="33F2FCD1">
      <w:pPr>
        <w:pStyle w:val="13"/>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lang w:val="en-US"/>
        </w:rPr>
        <w:t>To create public awareness on the ills of indiscriminate refuse disposal through environmental education and public enlightenment programmes.</w:t>
      </w:r>
    </w:p>
    <w:p w14:paraId="23DACDFA">
      <w:pPr>
        <w:shd w:val="clear" w:color="auto" w:fill="FFFFFF"/>
        <w:spacing w:before="100" w:beforeAutospacing="1" w:after="100" w:afterAutospacing="1" w:line="480" w:lineRule="auto"/>
        <w:jc w:val="both"/>
        <w:outlineLvl w:val="2"/>
        <w:rPr>
          <w:rFonts w:ascii="Times New Roman" w:hAnsi="Times New Roman" w:eastAsia="Times New Roman" w:cs="Times New Roman"/>
          <w:b/>
          <w:iCs/>
          <w:color w:val="000000"/>
          <w:sz w:val="24"/>
          <w:szCs w:val="24"/>
          <w:lang w:eastAsia="en-GB"/>
        </w:rPr>
      </w:pPr>
      <w:r>
        <w:rPr>
          <w:rFonts w:ascii="Times New Roman" w:hAnsi="Times New Roman" w:eastAsia="Times New Roman" w:cs="Times New Roman"/>
          <w:b/>
          <w:iCs/>
          <w:color w:val="000000"/>
          <w:sz w:val="24"/>
          <w:szCs w:val="24"/>
          <w:lang w:eastAsia="en-GB"/>
        </w:rPr>
        <w:t>1.4. Research Question</w:t>
      </w:r>
      <w:r>
        <w:rPr>
          <w:rFonts w:ascii="Times New Roman" w:hAnsi="Times New Roman" w:eastAsia="Times New Roman" w:cs="Times New Roman"/>
          <w:b/>
          <w:iCs/>
          <w:color w:val="000000"/>
          <w:sz w:val="24"/>
          <w:szCs w:val="24"/>
          <w:lang w:eastAsia="en-GB"/>
        </w:rPr>
        <w:t>s</w:t>
      </w:r>
    </w:p>
    <w:p w14:paraId="138FC0C2">
      <w:pPr>
        <w:pStyle w:val="13"/>
        <w:numPr>
          <w:ilvl w:val="0"/>
          <w:numId w:val="3"/>
        </w:numPr>
        <w:shd w:val="clear" w:color="auto" w:fill="FFFFFF"/>
        <w:spacing w:after="100" w:afterAutospacing="1" w:line="480" w:lineRule="auto"/>
        <w:jc w:val="both"/>
        <w:outlineLvl w:val="2"/>
        <w:rPr>
          <w:rFonts w:ascii="Times New Roman" w:hAnsi="Times New Roman" w:eastAsia="Times New Roman" w:cs="Times New Roman"/>
          <w:b/>
          <w:iCs/>
          <w:color w:val="000000"/>
          <w:sz w:val="24"/>
          <w:szCs w:val="24"/>
          <w:lang w:eastAsia="en-GB"/>
        </w:rPr>
      </w:pPr>
      <w:r>
        <w:rPr>
          <w:rFonts w:ascii="Times New Roman" w:hAnsi="Times New Roman" w:cs="Times New Roman"/>
          <w:sz w:val="24"/>
          <w:szCs w:val="24"/>
        </w:rPr>
        <w:t>What is the level of harm that indiscriminate refuse dumping has on human health?</w:t>
      </w:r>
    </w:p>
    <w:p w14:paraId="2623DAAD">
      <w:pPr>
        <w:pStyle w:val="13"/>
        <w:numPr>
          <w:ilvl w:val="0"/>
          <w:numId w:val="3"/>
        </w:numPr>
        <w:shd w:val="clear" w:color="auto" w:fill="FFFFFF"/>
        <w:spacing w:after="100" w:afterAutospacing="1" w:line="480" w:lineRule="auto"/>
        <w:jc w:val="both"/>
        <w:outlineLvl w:val="2"/>
        <w:rPr>
          <w:rFonts w:ascii="Times New Roman" w:hAnsi="Times New Roman" w:eastAsia="Times New Roman" w:cs="Times New Roman"/>
          <w:b/>
          <w:iCs/>
          <w:color w:val="000000"/>
          <w:sz w:val="24"/>
          <w:szCs w:val="24"/>
          <w:lang w:eastAsia="en-GB"/>
        </w:rPr>
      </w:pPr>
      <w:r>
        <w:t>What strategies can be implemented to ensure safe waste practices?</w:t>
      </w:r>
    </w:p>
    <w:p w14:paraId="1CCD0916">
      <w:pPr>
        <w:shd w:val="clear" w:color="auto" w:fill="FFFFFF"/>
        <w:spacing w:before="100" w:beforeAutospacing="1" w:after="100" w:afterAutospacing="1" w:line="480" w:lineRule="auto"/>
        <w:jc w:val="both"/>
        <w:outlineLvl w:val="2"/>
        <w:rPr>
          <w:rFonts w:ascii="Times New Roman" w:hAnsi="Times New Roman" w:eastAsia="Times New Roman" w:cs="Times New Roman"/>
          <w:b/>
          <w:iCs/>
          <w:color w:val="000000"/>
          <w:sz w:val="24"/>
          <w:szCs w:val="24"/>
          <w:lang w:eastAsia="en-GB"/>
        </w:rPr>
      </w:pPr>
      <w:r>
        <w:rPr>
          <w:rFonts w:ascii="Times New Roman" w:hAnsi="Times New Roman" w:eastAsia="Times New Roman" w:cs="Times New Roman"/>
          <w:b/>
          <w:iCs/>
          <w:color w:val="000000"/>
          <w:sz w:val="24"/>
          <w:szCs w:val="24"/>
          <w:lang w:eastAsia="en-GB"/>
        </w:rPr>
        <w:t>1.5</w:t>
      </w:r>
      <w:r>
        <w:rPr>
          <w:rFonts w:ascii="Times New Roman" w:hAnsi="Times New Roman" w:eastAsia="Times New Roman" w:cs="Times New Roman"/>
          <w:b/>
          <w:iCs/>
          <w:color w:val="000000"/>
          <w:sz w:val="24"/>
          <w:szCs w:val="24"/>
          <w:lang w:eastAsia="en-GB"/>
        </w:rPr>
        <w:t xml:space="preserve">. Research </w:t>
      </w:r>
      <w:r>
        <w:rPr>
          <w:rFonts w:ascii="Times New Roman" w:hAnsi="Times New Roman" w:cs="Times New Roman"/>
          <w:b/>
          <w:sz w:val="24"/>
          <w:szCs w:val="24"/>
          <w:lang w:val="en-US"/>
        </w:rPr>
        <w:t>Hypotheses</w:t>
      </w:r>
    </w:p>
    <w:p w14:paraId="71CCD11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H₁: Indiscriminate </w:t>
      </w:r>
      <w:r>
        <w:rPr>
          <w:rFonts w:ascii="Times New Roman" w:hAnsi="Times New Roman" w:cs="Times New Roman"/>
          <w:sz w:val="24"/>
          <w:szCs w:val="24"/>
          <w:lang w:val="en-US"/>
        </w:rPr>
        <w:t>refuse dumping has no significant effect on the health</w:t>
      </w:r>
      <w:r>
        <w:rPr>
          <w:rFonts w:ascii="Times New Roman" w:hAnsi="Times New Roman" w:cs="Times New Roman"/>
          <w:sz w:val="24"/>
          <w:szCs w:val="24"/>
        </w:rPr>
        <w:t xml:space="preserve"> </w:t>
      </w:r>
      <w:r>
        <w:rPr>
          <w:rFonts w:ascii="Times New Roman" w:hAnsi="Times New Roman" w:cs="Times New Roman"/>
          <w:sz w:val="24"/>
          <w:szCs w:val="24"/>
          <w:lang w:val="en-US"/>
        </w:rPr>
        <w:t>of individuals.</w:t>
      </w:r>
    </w:p>
    <w:p w14:paraId="3DFDC47C">
      <w:pPr>
        <w:spacing w:line="480" w:lineRule="auto"/>
        <w:jc w:val="both"/>
        <w:rPr>
          <w:rFonts w:ascii="Times New Roman" w:hAnsi="Times New Roman" w:cs="Times New Roman"/>
          <w:sz w:val="24"/>
          <w:szCs w:val="24"/>
        </w:rPr>
      </w:pPr>
      <w:r>
        <w:rPr>
          <w:rFonts w:ascii="Times New Roman" w:hAnsi="Times New Roman" w:cs="Times New Roman"/>
          <w:sz w:val="24"/>
          <w:szCs w:val="24"/>
        </w:rPr>
        <w:t>H</w:t>
      </w:r>
      <w:r>
        <w:rPr>
          <w:rFonts w:ascii="Times New Roman" w:hAnsi="Times New Roman" w:cs="Times New Roman"/>
          <w:sz w:val="24"/>
          <w:szCs w:val="24"/>
          <w:vertAlign w:val="subscript"/>
        </w:rPr>
        <w:t>2</w:t>
      </w:r>
      <w:r>
        <w:rPr>
          <w:rFonts w:ascii="Times New Roman" w:hAnsi="Times New Roman" w:cs="Times New Roman"/>
          <w:sz w:val="24"/>
          <w:szCs w:val="24"/>
        </w:rPr>
        <w:t xml:space="preserve">: Indiscriminate </w:t>
      </w:r>
      <w:r>
        <w:rPr>
          <w:rFonts w:ascii="Times New Roman" w:hAnsi="Times New Roman" w:cs="Times New Roman"/>
          <w:sz w:val="24"/>
          <w:szCs w:val="24"/>
          <w:lang w:val="en-US"/>
        </w:rPr>
        <w:t>refuse dumping has no significant effect on the environment.</w:t>
      </w:r>
    </w:p>
    <w:p w14:paraId="2F95564C">
      <w:pPr>
        <w:spacing w:line="480" w:lineRule="auto"/>
        <w:jc w:val="both"/>
        <w:rPr>
          <w:rFonts w:ascii="Times New Roman" w:hAnsi="Times New Roman" w:cs="Times New Roman"/>
          <w:b/>
          <w:sz w:val="24"/>
          <w:szCs w:val="24"/>
        </w:rPr>
      </w:pPr>
      <w:r>
        <w:rPr>
          <w:rFonts w:ascii="Times New Roman" w:hAnsi="Times New Roman" w:cs="Times New Roman"/>
          <w:sz w:val="24"/>
          <w:szCs w:val="24"/>
        </w:rPr>
        <w:t>H</w:t>
      </w:r>
      <w:r>
        <w:rPr>
          <w:rFonts w:ascii="Times New Roman" w:hAnsi="Times New Roman" w:cs="Times New Roman"/>
          <w:sz w:val="24"/>
          <w:szCs w:val="24"/>
          <w:vertAlign w:val="subscript"/>
        </w:rPr>
        <w:t>3</w:t>
      </w:r>
      <w:r>
        <w:rPr>
          <w:rFonts w:ascii="Times New Roman" w:hAnsi="Times New Roman" w:cs="Times New Roman"/>
          <w:sz w:val="24"/>
          <w:szCs w:val="24"/>
        </w:rPr>
        <w:t xml:space="preserve">: </w:t>
      </w:r>
      <w:r>
        <w:rPr>
          <w:rFonts w:ascii="Times New Roman" w:hAnsi="Times New Roman" w:cs="Times New Roman"/>
          <w:sz w:val="24"/>
          <w:szCs w:val="24"/>
          <w:lang w:val="en-US"/>
        </w:rPr>
        <w:t>There is no significant relationship between resident's attitude and indiscriminate refuse dumping</w:t>
      </w:r>
    </w:p>
    <w:p w14:paraId="604271C3">
      <w:pPr>
        <w:spacing w:line="480" w:lineRule="auto"/>
        <w:jc w:val="both"/>
        <w:rPr>
          <w:rFonts w:ascii="Times New Roman" w:hAnsi="Times New Roman" w:cs="Times New Roman"/>
          <w:b/>
          <w:sz w:val="24"/>
          <w:szCs w:val="24"/>
        </w:rPr>
      </w:pPr>
      <w:r>
        <w:rPr>
          <w:rFonts w:ascii="Times New Roman" w:hAnsi="Times New Roman" w:cs="Times New Roman"/>
          <w:b/>
          <w:sz w:val="24"/>
          <w:szCs w:val="24"/>
        </w:rPr>
        <w:t>2. Literature Review &amp; Conceptual Framework</w:t>
      </w:r>
    </w:p>
    <w:p w14:paraId="698BC7FF">
      <w:pPr>
        <w:spacing w:line="480" w:lineRule="auto"/>
        <w:jc w:val="both"/>
        <w:rPr>
          <w:rFonts w:ascii="Times New Roman" w:hAnsi="Times New Roman" w:cs="Times New Roman"/>
          <w:b/>
          <w:sz w:val="24"/>
          <w:szCs w:val="24"/>
        </w:rPr>
      </w:pPr>
      <w:r>
        <w:rPr>
          <w:rFonts w:ascii="Times New Roman" w:hAnsi="Times New Roman" w:cs="Times New Roman"/>
          <w:b/>
          <w:sz w:val="24"/>
          <w:szCs w:val="24"/>
        </w:rPr>
        <w:t>2.1 Causes of Improper Waste Disposal</w:t>
      </w:r>
    </w:p>
    <w:p w14:paraId="145D0923">
      <w:pPr>
        <w:spacing w:line="480" w:lineRule="auto"/>
        <w:jc w:val="both"/>
        <w:rPr>
          <w:rFonts w:ascii="Times New Roman" w:hAnsi="Times New Roman" w:cs="Times New Roman"/>
          <w:sz w:val="24"/>
          <w:szCs w:val="24"/>
        </w:rPr>
      </w:pPr>
      <w:r>
        <w:rPr>
          <w:rFonts w:ascii="Times New Roman" w:hAnsi="Times New Roman" w:cs="Times New Roman"/>
          <w:sz w:val="24"/>
          <w:szCs w:val="24"/>
        </w:rPr>
        <w:t>From an economic perspective, indiscriminate dumping is essentially a classic example of market failure (Tweneboah Kodua &amp; Asomanin Anaman, 2020). Ideally, there is an exchange between the consumer and the waste management company. However, when private waste management companies set high montly user fees, or when the municipal infrastructure fails to provide waste collection services on a regular basis, rational self-interest leads people to find alternatives that cost nothing, which in this case means dumping the waste in public areas, gutters, or rivers (Tweneboah Kodua &amp; Asomanin Anaman, 2020).</w:t>
      </w:r>
    </w:p>
    <w:p w14:paraId="23C89B2A">
      <w:pPr>
        <w:spacing w:line="480" w:lineRule="auto"/>
        <w:jc w:val="both"/>
        <w:rPr>
          <w:rFonts w:ascii="Times New Roman" w:hAnsi="Times New Roman" w:cs="Times New Roman"/>
          <w:b/>
          <w:color w:val="161F19"/>
          <w:sz w:val="24"/>
          <w:szCs w:val="24"/>
          <w:shd w:val="clear" w:color="auto" w:fill="FFFFFF"/>
        </w:rPr>
      </w:pPr>
      <w:r>
        <w:rPr>
          <w:rFonts w:ascii="Times New Roman" w:hAnsi="Times New Roman" w:cs="Times New Roman"/>
          <w:b/>
          <w:sz w:val="24"/>
          <w:szCs w:val="24"/>
        </w:rPr>
        <w:t xml:space="preserve">2.2 Socio-Demographic </w:t>
      </w:r>
      <w:r>
        <w:rPr>
          <w:rFonts w:ascii="Times New Roman" w:hAnsi="Times New Roman" w:cs="Times New Roman"/>
          <w:b/>
          <w:color w:val="161F19"/>
          <w:sz w:val="24"/>
          <w:szCs w:val="24"/>
          <w:shd w:val="clear" w:color="auto" w:fill="FFFFFF"/>
        </w:rPr>
        <w:t>Characteristic</w:t>
      </w:r>
      <w:r>
        <w:rPr>
          <w:rFonts w:ascii="Times New Roman" w:hAnsi="Times New Roman" w:cs="Times New Roman"/>
          <w:b/>
          <w:sz w:val="24"/>
          <w:szCs w:val="24"/>
        </w:rPr>
        <w:t>s</w:t>
      </w:r>
    </w:p>
    <w:p w14:paraId="24DC082A">
      <w:pPr>
        <w:spacing w:line="480" w:lineRule="auto"/>
        <w:jc w:val="both"/>
        <w:rPr>
          <w:rFonts w:ascii="Times New Roman" w:hAnsi="Times New Roman" w:cs="Times New Roman"/>
          <w:sz w:val="24"/>
          <w:szCs w:val="24"/>
        </w:rPr>
      </w:pPr>
      <w:r>
        <w:rPr>
          <w:rFonts w:ascii="Times New Roman" w:hAnsi="Times New Roman" w:cs="Times New Roman"/>
          <w:sz w:val="24"/>
          <w:szCs w:val="24"/>
        </w:rPr>
        <w:t>Sociologically, the generation of waste is dependent to a great extent on the socio-demographic characteristics of the population, specifically income, formal education, and number of persons in the household (Ebo, 2026). Higher education of a household is typically associated with better waste practices, such as the use of secure storage and containers, or the subscription of a formal municipal waste collection service (Ebo, 2026). On the contrary, the economically vulnerable and pressured urban areas tend to lack serviced reach (i.e. contractual agreements), and as a result, are forced to resort to informal methods of disposal (Ebo, 2026).</w:t>
      </w:r>
    </w:p>
    <w:p w14:paraId="7B16AF37">
      <w:pPr>
        <w:spacing w:line="480" w:lineRule="auto"/>
        <w:jc w:val="both"/>
        <w:rPr>
          <w:rFonts w:ascii="Times New Roman" w:hAnsi="Times New Roman" w:cs="Times New Roman"/>
          <w:b/>
          <w:sz w:val="24"/>
          <w:szCs w:val="24"/>
        </w:rPr>
      </w:pPr>
      <w:r>
        <w:rPr>
          <w:rFonts w:ascii="Times New Roman" w:hAnsi="Times New Roman" w:cs="Times New Roman"/>
          <w:b/>
          <w:sz w:val="24"/>
          <w:szCs w:val="24"/>
        </w:rPr>
        <w:t>2.3 Population Dynamics and Household Size</w:t>
      </w:r>
    </w:p>
    <w:p w14:paraId="5A0674C2">
      <w:pPr>
        <w:spacing w:after="0" w:line="480" w:lineRule="auto"/>
        <w:jc w:val="both"/>
        <w:rPr>
          <w:rFonts w:ascii="Times New Roman" w:hAnsi="Times New Roman" w:cs="Times New Roman"/>
          <w:b/>
          <w:sz w:val="24"/>
          <w:szCs w:val="24"/>
        </w:rPr>
      </w:pPr>
      <w:r>
        <w:rPr>
          <w:rFonts w:ascii="Times New Roman" w:hAnsi="Times New Roman" w:cs="Times New Roman"/>
          <w:sz w:val="24"/>
          <w:szCs w:val="24"/>
        </w:rPr>
        <w:t>The amount of solid waste generated in urban areas is proportionate to the level of demographic density, with higher density resulting in higher levels of solid waste generated. When concentrating on population from a macro perspective, however, one misses the focus on the micro aspect of where the waste generation originates, and that is the household.</w:t>
      </w:r>
    </w:p>
    <w:p w14:paraId="2189DEBC">
      <w:pPr>
        <w:spacing w:after="0" w:line="480" w:lineRule="auto"/>
        <w:jc w:val="both"/>
        <w:rPr>
          <w:rFonts w:ascii="Times New Roman" w:hAnsi="Times New Roman" w:cs="Times New Roman"/>
          <w:b/>
          <w:sz w:val="24"/>
          <w:szCs w:val="24"/>
        </w:rPr>
      </w:pPr>
      <w:r>
        <w:rPr>
          <w:rFonts w:ascii="Times New Roman" w:hAnsi="Times New Roman" w:cs="Times New Roman"/>
          <w:sz w:val="24"/>
          <w:szCs w:val="24"/>
          <w:shd w:val="clear" w:color="auto" w:fill="FFFFFF"/>
        </w:rPr>
        <w:t>Households with more members mean more waste. With respect to municipal agencies that collect waste once a week, the bins of the larger families will be ful</w:t>
      </w:r>
      <w:r>
        <w:rPr>
          <w:rFonts w:ascii="Times New Roman" w:hAnsi="Times New Roman" w:cs="Times New Roman"/>
          <w:sz w:val="24"/>
          <w:szCs w:val="24"/>
          <w:shd w:val="clear" w:color="auto" w:fill="FFFFFF"/>
        </w:rPr>
        <w:t>l within four days (</w:t>
      </w:r>
      <w:r>
        <w:rPr>
          <w:rFonts w:ascii="Times New Roman" w:hAnsi="Times New Roman" w:cs="Times New Roman"/>
          <w:sz w:val="24"/>
          <w:szCs w:val="24"/>
          <w:shd w:val="clear" w:color="auto" w:fill="FFFFFF"/>
        </w:rPr>
        <w:t>Ebo</w:t>
      </w:r>
      <w:r>
        <w:rPr>
          <w:rFonts w:ascii="Times New Roman" w:hAnsi="Times New Roman" w:cs="Times New Roman"/>
          <w:sz w:val="24"/>
          <w:szCs w:val="24"/>
          <w:shd w:val="clear" w:color="auto" w:fill="FFFFFF"/>
        </w:rPr>
        <w:t>, 2026</w:t>
      </w:r>
      <w:r>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br w:type="textWrapping"/>
      </w:r>
      <w:r>
        <w:rPr>
          <w:rFonts w:ascii="Times New Roman" w:hAnsi="Times New Roman" w:cs="Times New Roman"/>
          <w:sz w:val="24"/>
          <w:szCs w:val="24"/>
          <w:shd w:val="clear" w:color="auto" w:fill="FFFFFF"/>
        </w:rPr>
        <w:t>When the family waste storage is full, a public health crisis is created within the household. Most frequently, large families having limited or no waste collection services keep their dwelling place tidy by discarding waste via routine nocturnal household waste dumping, or by throwing waste into open drainage ditches</w:t>
      </w:r>
      <w:r>
        <w:rPr>
          <w:rFonts w:ascii="Times New Roman" w:hAnsi="Times New Roman" w:cs="Times New Roman"/>
          <w:color w:val="172B4D"/>
          <w:sz w:val="24"/>
          <w:szCs w:val="24"/>
          <w:shd w:val="clear" w:color="auto" w:fill="FFFFFF"/>
        </w:rPr>
        <w:t>.</w:t>
      </w:r>
    </w:p>
    <w:p w14:paraId="4042B1CB">
      <w:pPr>
        <w:spacing w:line="480" w:lineRule="auto"/>
        <w:jc w:val="both"/>
        <w:rPr>
          <w:rFonts w:ascii="Times New Roman" w:hAnsi="Times New Roman" w:cs="Times New Roman"/>
          <w:sz w:val="24"/>
          <w:szCs w:val="24"/>
          <w:shd w:val="clear" w:color="auto" w:fill="FFFFFF"/>
        </w:rPr>
      </w:pPr>
      <w:r>
        <w:rPr>
          <w:rFonts w:ascii="Times New Roman" w:hAnsi="Times New Roman" w:cs="Times New Roman"/>
          <w:b/>
          <w:color w:val="172B4D"/>
          <w:sz w:val="24"/>
          <w:szCs w:val="24"/>
          <w:shd w:val="clear" w:color="auto" w:fill="FFFFFF"/>
        </w:rPr>
        <w:t>2.4</w:t>
      </w:r>
      <w:r>
        <w:rPr>
          <w:rFonts w:ascii="Times New Roman" w:hAnsi="Times New Roman" w:cs="Times New Roman"/>
          <w:b/>
          <w:color w:val="172B4D"/>
          <w:sz w:val="24"/>
          <w:szCs w:val="24"/>
          <w:shd w:val="clear" w:color="auto" w:fill="FFFFFF"/>
        </w:rPr>
        <w:t xml:space="preserve"> </w:t>
      </w:r>
      <w:r>
        <w:rPr>
          <w:rFonts w:ascii="Times New Roman" w:hAnsi="Times New Roman" w:cs="Times New Roman"/>
          <w:b/>
          <w:sz w:val="24"/>
          <w:szCs w:val="24"/>
          <w:shd w:val="clear" w:color="auto" w:fill="FFFFFF"/>
        </w:rPr>
        <w:t xml:space="preserve">Human </w:t>
      </w:r>
      <w:r>
        <w:rPr>
          <w:rFonts w:ascii="Times New Roman" w:hAnsi="Times New Roman" w:cs="Times New Roman"/>
          <w:b/>
          <w:sz w:val="24"/>
          <w:szCs w:val="24"/>
          <w:shd w:val="clear" w:color="auto" w:fill="FFFFFF"/>
        </w:rPr>
        <w:t>Behavio</w:t>
      </w:r>
      <w:r>
        <w:rPr>
          <w:rFonts w:ascii="Times New Roman" w:hAnsi="Times New Roman" w:cs="Times New Roman"/>
          <w:b/>
          <w:sz w:val="24"/>
          <w:szCs w:val="24"/>
          <w:shd w:val="clear" w:color="auto" w:fill="FFFFFF"/>
        </w:rPr>
        <w:t>u</w:t>
      </w:r>
      <w:r>
        <w:rPr>
          <w:rFonts w:ascii="Times New Roman" w:hAnsi="Times New Roman" w:cs="Times New Roman"/>
          <w:b/>
          <w:sz w:val="24"/>
          <w:szCs w:val="24"/>
          <w:shd w:val="clear" w:color="auto" w:fill="FFFFFF"/>
        </w:rPr>
        <w:t>r</w:t>
      </w:r>
      <w:r>
        <w:rPr>
          <w:rFonts w:ascii="Times New Roman" w:hAnsi="Times New Roman" w:cs="Times New Roman"/>
          <w:b/>
          <w:sz w:val="24"/>
          <w:szCs w:val="24"/>
          <w:shd w:val="clear" w:color="auto" w:fill="FFFFFF"/>
        </w:rPr>
        <w:t xml:space="preserve"> and Psychological </w:t>
      </w:r>
      <w:r>
        <w:rPr>
          <w:rFonts w:ascii="Times New Roman" w:hAnsi="Times New Roman" w:cs="Times New Roman"/>
          <w:b/>
          <w:sz w:val="24"/>
          <w:szCs w:val="24"/>
          <w:shd w:val="clear" w:color="auto" w:fill="FFFFFF"/>
        </w:rPr>
        <w:t>Dynamics</w:t>
      </w:r>
      <w:r>
        <w:rPr>
          <w:rFonts w:ascii="Times New Roman" w:hAnsi="Times New Roman" w:cs="Times New Roman"/>
          <w:sz w:val="24"/>
          <w:szCs w:val="24"/>
          <w:shd w:val="clear" w:color="auto" w:fill="FFFFFF"/>
        </w:rPr>
        <w:br w:type="textWrapping"/>
      </w:r>
      <w:r>
        <w:rPr>
          <w:rFonts w:ascii="Times New Roman" w:hAnsi="Times New Roman" w:cs="Times New Roman"/>
          <w:sz w:val="24"/>
          <w:szCs w:val="24"/>
          <w:shd w:val="clear" w:color="auto" w:fill="FFFFFF"/>
        </w:rPr>
        <w:t xml:space="preserve">Poor </w:t>
      </w:r>
      <w:r>
        <w:rPr>
          <w:rFonts w:ascii="Times New Roman" w:hAnsi="Times New Roman" w:cs="Times New Roman"/>
          <w:sz w:val="24"/>
          <w:szCs w:val="24"/>
          <w:shd w:val="clear" w:color="auto" w:fill="FFFFFF"/>
        </w:rPr>
        <w:t>drainage infrastructure</w:t>
      </w:r>
      <w:r>
        <w:rPr>
          <w:rFonts w:ascii="Times New Roman" w:hAnsi="Times New Roman" w:cs="Times New Roman"/>
          <w:sz w:val="24"/>
          <w:szCs w:val="24"/>
          <w:shd w:val="clear" w:color="auto" w:fill="FFFFFF"/>
        </w:rPr>
        <w:t xml:space="preserve"> or having </w:t>
      </w:r>
      <w:r>
        <w:rPr>
          <w:rFonts w:ascii="Times New Roman" w:hAnsi="Times New Roman" w:cs="Times New Roman"/>
          <w:sz w:val="24"/>
          <w:szCs w:val="24"/>
          <w:shd w:val="clear" w:color="auto" w:fill="FFFFFF"/>
        </w:rPr>
        <w:t>to deal with an emergency is not the main concern. The main problem is that the psychological attitudes of individuals and commu</w:t>
      </w:r>
      <w:r>
        <w:rPr>
          <w:rFonts w:ascii="Times New Roman" w:hAnsi="Times New Roman" w:cs="Times New Roman"/>
          <w:sz w:val="24"/>
          <w:szCs w:val="24"/>
          <w:shd w:val="clear" w:color="auto" w:fill="FFFFFF"/>
        </w:rPr>
        <w:t>nities along with their behaviour</w:t>
      </w:r>
      <w:r>
        <w:rPr>
          <w:rFonts w:ascii="Times New Roman" w:hAnsi="Times New Roman" w:cs="Times New Roman"/>
          <w:sz w:val="24"/>
          <w:szCs w:val="24"/>
          <w:shd w:val="clear" w:color="auto" w:fill="FFFFFF"/>
        </w:rPr>
        <w:t>s act as powerful mediators on the sta</w:t>
      </w:r>
      <w:r>
        <w:rPr>
          <w:rFonts w:ascii="Times New Roman" w:hAnsi="Times New Roman" w:cs="Times New Roman"/>
          <w:sz w:val="24"/>
          <w:szCs w:val="24"/>
          <w:shd w:val="clear" w:color="auto" w:fill="FFFFFF"/>
        </w:rPr>
        <w:t>te of health of a municipality.</w:t>
      </w:r>
      <w:r>
        <w:rPr>
          <w:rFonts w:ascii="Times New Roman" w:hAnsi="Times New Roman" w:cs="Times New Roman"/>
          <w:sz w:val="24"/>
          <w:szCs w:val="24"/>
          <w:shd w:val="clear" w:color="auto" w:fill="FFFFFF"/>
        </w:rPr>
        <w:br w:type="textWrapping"/>
      </w:r>
      <w:r>
        <w:rPr>
          <w:rFonts w:ascii="Times New Roman" w:hAnsi="Times New Roman" w:cs="Times New Roman"/>
          <w:sz w:val="24"/>
          <w:szCs w:val="24"/>
          <w:shd w:val="clear" w:color="auto" w:fill="FFFFFF"/>
        </w:rPr>
        <w:t>One of the main behavio</w:t>
      </w:r>
      <w:r>
        <w:rPr>
          <w:rFonts w:ascii="Times New Roman" w:hAnsi="Times New Roman" w:cs="Times New Roman"/>
          <w:sz w:val="24"/>
          <w:szCs w:val="24"/>
          <w:shd w:val="clear" w:color="auto" w:fill="FFFFFF"/>
        </w:rPr>
        <w:t>u</w:t>
      </w:r>
      <w:r>
        <w:rPr>
          <w:rFonts w:ascii="Times New Roman" w:hAnsi="Times New Roman" w:cs="Times New Roman"/>
          <w:sz w:val="24"/>
          <w:szCs w:val="24"/>
          <w:shd w:val="clear" w:color="auto" w:fill="FFFFFF"/>
        </w:rPr>
        <w:t>ral</w:t>
      </w:r>
      <w:r>
        <w:rPr>
          <w:rFonts w:ascii="Times New Roman" w:hAnsi="Times New Roman" w:cs="Times New Roman"/>
          <w:sz w:val="24"/>
          <w:szCs w:val="24"/>
          <w:shd w:val="clear" w:color="auto" w:fill="FFFFFF"/>
        </w:rPr>
        <w:t xml:space="preserve"> issues is what is called the </w:t>
      </w:r>
      <w:r>
        <w:rPr>
          <w:rFonts w:ascii="Times New Roman" w:hAnsi="Times New Roman" w:cs="Times New Roman"/>
          <w:sz w:val="24"/>
          <w:szCs w:val="24"/>
          <w:shd w:val="clear" w:color="auto" w:fill="FFFFFF"/>
        </w:rPr>
        <w:t>ext</w:t>
      </w:r>
      <w:r>
        <w:rPr>
          <w:rFonts w:ascii="Times New Roman" w:hAnsi="Times New Roman" w:cs="Times New Roman"/>
          <w:sz w:val="24"/>
          <w:szCs w:val="24"/>
          <w:shd w:val="clear" w:color="auto" w:fill="FFFFFF"/>
        </w:rPr>
        <w:t>ernalization of responsibility</w:t>
      </w:r>
      <w:r>
        <w:rPr>
          <w:rFonts w:ascii="Times New Roman" w:hAnsi="Times New Roman" w:cs="Times New Roman"/>
          <w:sz w:val="24"/>
          <w:szCs w:val="24"/>
          <w:shd w:val="clear" w:color="auto" w:fill="FFFFFF"/>
        </w:rPr>
        <w:t xml:space="preserve">. Waste management is regarded as the sole responsibility of the local government authorities in many urban </w:t>
      </w:r>
      <w:r>
        <w:rPr>
          <w:rFonts w:ascii="Times New Roman" w:hAnsi="Times New Roman" w:cs="Times New Roman"/>
          <w:sz w:val="24"/>
          <w:szCs w:val="24"/>
          <w:shd w:val="clear" w:color="auto" w:fill="FFFFFF"/>
        </w:rPr>
        <w:t>centers</w:t>
      </w:r>
      <w:r>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Ebo</w:t>
      </w:r>
      <w:r>
        <w:rPr>
          <w:rFonts w:ascii="Times New Roman" w:hAnsi="Times New Roman" w:cs="Times New Roman"/>
          <w:sz w:val="24"/>
          <w:szCs w:val="24"/>
          <w:shd w:val="clear" w:color="auto" w:fill="FFFFFF"/>
        </w:rPr>
        <w:t>, 2026</w:t>
      </w:r>
      <w:r>
        <w:rPr>
          <w:rFonts w:ascii="Times New Roman" w:hAnsi="Times New Roman" w:cs="Times New Roman"/>
          <w:sz w:val="24"/>
          <w:szCs w:val="24"/>
          <w:shd w:val="clear" w:color="auto" w:fill="FFFFFF"/>
        </w:rPr>
        <w:t xml:space="preserve">). </w:t>
      </w:r>
    </w:p>
    <w:p w14:paraId="5429F43B">
      <w:pPr>
        <w:spacing w:line="48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3.  Methods and Materials</w:t>
      </w:r>
    </w:p>
    <w:p w14:paraId="1EB182A0">
      <w:pPr>
        <w:shd w:val="clear" w:color="auto" w:fill="FFFFFF"/>
        <w:spacing w:before="100" w:beforeAutospacing="1" w:line="480" w:lineRule="auto"/>
        <w:jc w:val="both"/>
        <w:outlineLvl w:val="2"/>
        <w:rPr>
          <w:rFonts w:ascii="Times New Roman" w:hAnsi="Times New Roman" w:eastAsia="Times New Roman" w:cs="Times New Roman"/>
          <w:b/>
          <w:iCs/>
          <w:color w:val="000000"/>
          <w:sz w:val="24"/>
          <w:szCs w:val="24"/>
          <w:lang w:eastAsia="en-GB"/>
        </w:rPr>
      </w:pPr>
      <w:r>
        <w:rPr>
          <w:rFonts w:ascii="Times New Roman" w:hAnsi="Times New Roman" w:eastAsia="Times New Roman" w:cs="Times New Roman"/>
          <w:b/>
          <w:iCs/>
          <w:color w:val="000000"/>
          <w:sz w:val="24"/>
          <w:szCs w:val="24"/>
          <w:lang w:eastAsia="en-GB"/>
        </w:rPr>
        <w:t>3</w:t>
      </w:r>
      <w:r>
        <w:rPr>
          <w:rFonts w:ascii="Times New Roman" w:hAnsi="Times New Roman" w:eastAsia="Times New Roman" w:cs="Times New Roman"/>
          <w:b/>
          <w:iCs/>
          <w:color w:val="000000"/>
          <w:sz w:val="24"/>
          <w:szCs w:val="24"/>
          <w:lang w:eastAsia="en-GB"/>
        </w:rPr>
        <w:t xml:space="preserve">.1. </w:t>
      </w:r>
      <w:r>
        <w:rPr>
          <w:rFonts w:ascii="Times New Roman" w:hAnsi="Times New Roman" w:cs="Times New Roman"/>
          <w:b/>
          <w:sz w:val="24"/>
          <w:szCs w:val="24"/>
        </w:rPr>
        <w:t>Study Area</w:t>
      </w:r>
    </w:p>
    <w:p w14:paraId="4AAC85C9">
      <w:pPr>
        <w:spacing w:line="480" w:lineRule="auto"/>
        <w:jc w:val="both"/>
        <w:rPr>
          <w:rFonts w:ascii="Times New Roman" w:hAnsi="Times New Roman" w:cs="Times New Roman"/>
          <w:color w:val="161F19"/>
          <w:sz w:val="24"/>
          <w:szCs w:val="24"/>
          <w:shd w:val="clear" w:color="auto" w:fill="FFFFFF"/>
        </w:rPr>
      </w:pPr>
      <w:r>
        <w:rPr>
          <w:rFonts w:ascii="Times New Roman" w:hAnsi="Times New Roman" w:cs="Times New Roman"/>
          <w:color w:val="161F19"/>
          <w:sz w:val="24"/>
          <w:szCs w:val="24"/>
          <w:shd w:val="clear" w:color="auto" w:fill="FFFFFF"/>
        </w:rPr>
        <w:t xml:space="preserve">The study was conducted in Big Qua Community, </w:t>
      </w:r>
      <w:r>
        <w:rPr>
          <w:rFonts w:ascii="Times New Roman" w:hAnsi="Times New Roman" w:cs="Times New Roman"/>
          <w:color w:val="161F19"/>
          <w:sz w:val="24"/>
          <w:szCs w:val="24"/>
          <w:shd w:val="clear" w:color="auto" w:fill="FFFFFF"/>
        </w:rPr>
        <w:t>Calabar</w:t>
      </w:r>
      <w:r>
        <w:rPr>
          <w:rFonts w:ascii="Times New Roman" w:hAnsi="Times New Roman" w:cs="Times New Roman"/>
          <w:color w:val="161F19"/>
          <w:sz w:val="24"/>
          <w:szCs w:val="24"/>
          <w:shd w:val="clear" w:color="auto" w:fill="FFFFFF"/>
        </w:rPr>
        <w:t xml:space="preserve"> Municipality Local Government Area of Cross River State, Nigeria. The area is characterized by high commercial and residential activities, which contribute to increased generation of solid waste. </w:t>
      </w:r>
    </w:p>
    <w:p w14:paraId="1E723C44">
      <w:pPr>
        <w:spacing w:line="480" w:lineRule="auto"/>
        <w:jc w:val="both"/>
        <w:rPr>
          <w:rFonts w:ascii="Times New Roman" w:hAnsi="Times New Roman" w:cs="Times New Roman"/>
          <w:sz w:val="24"/>
          <w:szCs w:val="24"/>
        </w:rPr>
      </w:pPr>
      <w:r>
        <w:rPr>
          <w:rFonts w:ascii="Times New Roman" w:hAnsi="Times New Roman" w:cs="Times New Roman"/>
          <w:sz w:val="24"/>
          <w:szCs w:val="24"/>
          <w:lang w:eastAsia="en-GB"/>
        </w:rPr>
        <w:drawing>
          <wp:inline distT="0" distB="0" distL="0" distR="0">
            <wp:extent cx="3219450" cy="21564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0"/>
                      <a:ext cx="3221735" cy="2158055"/>
                    </a:xfrm>
                    <a:prstGeom prst="rect">
                      <a:avLst/>
                    </a:prstGeom>
                  </pic:spPr>
                </pic:pic>
              </a:graphicData>
            </a:graphic>
          </wp:inline>
        </w:drawing>
      </w:r>
    </w:p>
    <w:p w14:paraId="023E615E">
      <w:pPr>
        <w:spacing w:line="480" w:lineRule="auto"/>
        <w:ind w:left="0" w:leftChars="0" w:firstLine="0" w:firstLineChars="0"/>
        <w:jc w:val="both"/>
        <w:rPr>
          <w:rFonts w:ascii="Times New Roman" w:hAnsi="Times New Roman" w:cs="Times New Roman"/>
          <w:b/>
          <w:sz w:val="24"/>
          <w:szCs w:val="24"/>
        </w:rPr>
      </w:pPr>
      <w:r>
        <w:rPr>
          <w:rFonts w:ascii="Times New Roman" w:hAnsi="Times New Roman" w:cs="Times New Roman"/>
          <w:b/>
          <w:bCs/>
          <w:color w:val="222222"/>
          <w:sz w:val="24"/>
          <w:szCs w:val="24"/>
          <w:shd w:val="clear" w:color="auto" w:fill="FFFFFF"/>
        </w:rPr>
        <w:t xml:space="preserve">           </w:t>
      </w:r>
      <w:r>
        <w:rPr>
          <w:rFonts w:ascii="Times New Roman" w:hAnsi="Times New Roman" w:cs="Times New Roman"/>
          <w:b/>
          <w:bCs/>
          <w:color w:val="222222"/>
          <w:sz w:val="24"/>
          <w:szCs w:val="24"/>
          <w:shd w:val="clear" w:color="auto" w:fill="FFFFFF"/>
        </w:rPr>
        <w:t>Figure 1.</w:t>
      </w:r>
      <w:r>
        <w:rPr>
          <w:rFonts w:ascii="Times New Roman" w:hAnsi="Times New Roman" w:cs="Times New Roman"/>
          <w:color w:val="222222"/>
          <w:sz w:val="24"/>
          <w:szCs w:val="24"/>
          <w:shd w:val="clear" w:color="auto" w:fill="FFFFFF"/>
        </w:rPr>
        <w:t xml:space="preserve"> 4.9807° N, 8.3472° E</w:t>
      </w:r>
    </w:p>
    <w:p w14:paraId="5038DA46">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3.2 </w:t>
      </w:r>
      <w:r>
        <w:rPr>
          <w:rFonts w:ascii="Times New Roman" w:hAnsi="Times New Roman" w:eastAsia="Times New Roman" w:cs="Times New Roman"/>
          <w:b/>
          <w:iCs/>
          <w:color w:val="000000"/>
          <w:sz w:val="24"/>
          <w:szCs w:val="24"/>
          <w:lang w:eastAsia="en-GB"/>
        </w:rPr>
        <w:t>Research</w:t>
      </w:r>
      <w:r>
        <w:rPr>
          <w:rFonts w:ascii="Times New Roman" w:hAnsi="Times New Roman" w:eastAsia="Times New Roman" w:cs="Times New Roman"/>
          <w:b/>
          <w:iCs/>
          <w:color w:val="000000"/>
          <w:sz w:val="24"/>
          <w:szCs w:val="24"/>
          <w:lang w:eastAsia="en-GB"/>
        </w:rPr>
        <w:t xml:space="preserve"> Design</w:t>
      </w:r>
    </w:p>
    <w:p w14:paraId="581EAB5B">
      <w:pPr>
        <w:spacing w:line="480" w:lineRule="auto"/>
        <w:jc w:val="both"/>
        <w:rPr>
          <w:rFonts w:ascii="Times New Roman" w:hAnsi="Times New Roman" w:cs="Times New Roman"/>
          <w:b/>
          <w:sz w:val="24"/>
          <w:szCs w:val="24"/>
          <w:shd w:val="clear" w:color="auto" w:fill="FFFFFF"/>
        </w:rPr>
      </w:pPr>
      <w:r>
        <w:rPr>
          <w:rFonts w:ascii="Times New Roman" w:hAnsi="Times New Roman" w:cs="Times New Roman"/>
          <w:color w:val="161F19"/>
          <w:sz w:val="24"/>
          <w:szCs w:val="24"/>
          <w:shd w:val="clear" w:color="auto" w:fill="FFFFFF"/>
        </w:rPr>
        <w:t>The study used a descriptive survey design.</w:t>
      </w:r>
    </w:p>
    <w:p w14:paraId="7AB9F3A8">
      <w:pPr>
        <w:spacing w:before="240" w:line="480" w:lineRule="auto"/>
        <w:jc w:val="both"/>
        <w:rPr>
          <w:rFonts w:ascii="Times New Roman" w:hAnsi="Times New Roman" w:cs="Times New Roman"/>
          <w:color w:val="161F19"/>
          <w:sz w:val="24"/>
          <w:szCs w:val="24"/>
          <w:shd w:val="clear" w:color="auto" w:fill="FFFFFF"/>
        </w:rPr>
      </w:pPr>
      <w:r>
        <w:rPr>
          <w:rFonts w:ascii="Times New Roman" w:hAnsi="Times New Roman" w:cs="Times New Roman"/>
          <w:b/>
          <w:sz w:val="24"/>
          <w:szCs w:val="24"/>
          <w:shd w:val="clear" w:color="auto" w:fill="FFFFFF"/>
        </w:rPr>
        <w:t>3</w:t>
      </w:r>
      <w:r>
        <w:rPr>
          <w:rFonts w:ascii="Times New Roman" w:hAnsi="Times New Roman" w:cs="Times New Roman"/>
          <w:b/>
          <w:sz w:val="24"/>
          <w:szCs w:val="24"/>
          <w:shd w:val="clear" w:color="auto" w:fill="FFFFFF"/>
        </w:rPr>
        <w:t xml:space="preserve">.3 Study </w:t>
      </w:r>
      <w:r>
        <w:rPr>
          <w:rFonts w:ascii="Times New Roman" w:hAnsi="Times New Roman" w:cs="Times New Roman"/>
          <w:b/>
          <w:sz w:val="24"/>
          <w:szCs w:val="24"/>
          <w:shd w:val="clear" w:color="auto" w:fill="FFFFFF"/>
        </w:rPr>
        <w:t>Population</w:t>
      </w:r>
      <w:r>
        <w:rPr>
          <w:rFonts w:ascii="Times New Roman" w:hAnsi="Times New Roman" w:cs="Times New Roman"/>
          <w:sz w:val="24"/>
          <w:szCs w:val="24"/>
          <w:shd w:val="clear" w:color="auto" w:fill="FFFFFF"/>
        </w:rPr>
        <w:t xml:space="preserve"> </w:t>
      </w:r>
      <w:r>
        <w:rPr>
          <w:rFonts w:ascii="Times New Roman" w:hAnsi="Times New Roman" w:cs="Times New Roman"/>
          <w:color w:val="172B4D"/>
          <w:sz w:val="24"/>
          <w:szCs w:val="24"/>
          <w:shd w:val="clear" w:color="auto" w:fill="FFFFFF"/>
        </w:rPr>
        <w:br w:type="textWrapping"/>
      </w:r>
      <w:r>
        <w:rPr>
          <w:rFonts w:ascii="Times New Roman" w:hAnsi="Times New Roman" w:cs="Times New Roman"/>
          <w:color w:val="161F19"/>
          <w:sz w:val="24"/>
          <w:szCs w:val="24"/>
          <w:shd w:val="clear" w:color="auto" w:fill="FFFFFF"/>
        </w:rPr>
        <w:t>The study population comprised households within Big Qua Community. A sample size of 399 respondents was determined using the Taro Yamane formu</w:t>
      </w:r>
      <w:r>
        <w:rPr>
          <w:rFonts w:ascii="Times New Roman" w:hAnsi="Times New Roman" w:cs="Times New Roman"/>
          <w:color w:val="161F19"/>
          <w:sz w:val="24"/>
          <w:szCs w:val="24"/>
          <w:shd w:val="clear" w:color="auto" w:fill="FFFFFF"/>
        </w:rPr>
        <w:t xml:space="preserve">la at a 5% level of precision. </w:t>
      </w:r>
    </w:p>
    <w:p w14:paraId="19F83042">
      <w:pPr>
        <w:pStyle w:val="6"/>
        <w:spacing w:line="480" w:lineRule="auto"/>
        <w:ind w:firstLine="720"/>
        <w:jc w:val="both"/>
        <w:rPr>
          <w:b/>
        </w:rPr>
      </w:pPr>
      <w:r>
        <w:rPr>
          <w:b/>
        </w:rPr>
        <w:t xml:space="preserve">n = </w:t>
      </w:r>
      <m:oMath>
        <m:f>
          <m:fPr>
            <m:ctrlPr>
              <w:rPr>
                <w:rFonts w:ascii="Cambria Math" w:hAnsi="Cambria Math"/>
                <w:b/>
                <w:i/>
              </w:rPr>
            </m:ctrlPr>
          </m:fPr>
          <m:num>
            <m:r>
              <m:rPr>
                <m:sty m:val="bi"/>
              </m:rPr>
              <w:rPr>
                <w:rFonts w:ascii="Cambria Math" w:hAnsi="Cambria Math"/>
              </w:rPr>
              <m:t>N</m:t>
            </m:r>
            <m:ctrlPr>
              <w:rPr>
                <w:rFonts w:ascii="Cambria Math" w:hAnsi="Cambria Math"/>
                <w:b/>
                <w:i/>
              </w:rPr>
            </m:ctrlPr>
          </m:num>
          <m:den>
            <m:r>
              <m:rPr>
                <m:sty m:val="bi"/>
              </m:rPr>
              <w:rPr>
                <w:rFonts w:ascii="Cambria Math" w:hAnsi="Cambria Math"/>
              </w:rPr>
              <m:t xml:space="preserve">1+N </m:t>
            </m:r>
            <m:sSup>
              <m:sSupPr>
                <m:ctrlPr>
                  <w:rPr>
                    <w:rFonts w:ascii="Cambria Math" w:hAnsi="Cambria Math"/>
                    <w:b/>
                    <w:i/>
                  </w:rPr>
                </m:ctrlPr>
              </m:sSupPr>
              <m:e>
                <m:d>
                  <m:dPr>
                    <m:ctrlPr>
                      <w:rPr>
                        <w:rFonts w:ascii="Cambria Math" w:hAnsi="Cambria Math"/>
                        <w:b/>
                        <w:i/>
                      </w:rPr>
                    </m:ctrlPr>
                  </m:dPr>
                  <m:e>
                    <m:r>
                      <m:rPr>
                        <m:sty m:val="bi"/>
                      </m:rPr>
                      <w:rPr>
                        <w:rFonts w:ascii="Cambria Math" w:hAnsi="Cambria Math"/>
                      </w:rPr>
                      <m:t>e</m:t>
                    </m:r>
                    <m:ctrlPr>
                      <w:rPr>
                        <w:rFonts w:ascii="Cambria Math" w:hAnsi="Cambria Math"/>
                        <w:b/>
                        <w:i/>
                      </w:rPr>
                    </m:ctrlPr>
                  </m:e>
                </m:d>
                <m:ctrlPr>
                  <w:rPr>
                    <w:rFonts w:ascii="Cambria Math" w:hAnsi="Cambria Math"/>
                    <w:b/>
                    <w:i/>
                  </w:rPr>
                </m:ctrlPr>
              </m:e>
              <m:sup>
                <m:r>
                  <m:rPr>
                    <m:sty m:val="bi"/>
                  </m:rPr>
                  <w:rPr>
                    <w:rFonts w:ascii="Cambria Math" w:hAnsi="Cambria Math"/>
                  </w:rPr>
                  <m:t>2</m:t>
                </m:r>
                <m:ctrlPr>
                  <w:rPr>
                    <w:rFonts w:ascii="Cambria Math" w:hAnsi="Cambria Math"/>
                    <w:b/>
                    <w:i/>
                  </w:rPr>
                </m:ctrlPr>
              </m:sup>
            </m:sSup>
            <m:r>
              <m:rPr>
                <m:sty m:val="bi"/>
              </m:rPr>
              <w:rPr>
                <w:rFonts w:ascii="Cambria Math" w:hAnsi="Cambria Math"/>
              </w:rPr>
              <m:t xml:space="preserve"> </m:t>
            </m:r>
            <m:ctrlPr>
              <w:rPr>
                <w:rFonts w:ascii="Cambria Math" w:hAnsi="Cambria Math"/>
                <w:b/>
                <w:i/>
              </w:rPr>
            </m:ctrlPr>
          </m:den>
        </m:f>
      </m:oMath>
    </w:p>
    <w:p w14:paraId="521F30F3">
      <w:pPr>
        <w:spacing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n = sample size,</w:t>
      </w:r>
    </w:p>
    <w:p w14:paraId="5E4222A7">
      <w:pPr>
        <w:spacing w:line="48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 xml:space="preserve">N = population size, and </w:t>
      </w:r>
    </w:p>
    <w:p w14:paraId="6B095B5E">
      <w:pPr>
        <w:spacing w:line="480" w:lineRule="auto"/>
        <w:jc w:val="both"/>
        <w:rPr>
          <w:rFonts w:ascii="Times New Roman" w:hAnsi="Times New Roman" w:cs="Times New Roman"/>
          <w:color w:val="161F19"/>
          <w:sz w:val="24"/>
          <w:szCs w:val="24"/>
          <w:shd w:val="clear" w:color="auto" w:fill="FFFFFF"/>
        </w:rPr>
      </w:pPr>
      <w:r>
        <w:rPr>
          <w:rFonts w:ascii="Times New Roman" w:hAnsi="Times New Roman" w:eastAsia="Times New Roman" w:cs="Times New Roman"/>
          <w:sz w:val="24"/>
          <w:szCs w:val="24"/>
          <w:lang w:eastAsia="en-GB"/>
        </w:rPr>
        <w:t>e = margin of error at 0.05.</w:t>
      </w:r>
    </w:p>
    <w:p w14:paraId="470CDE76">
      <w:pPr>
        <w:spacing w:line="480" w:lineRule="auto"/>
        <w:jc w:val="both"/>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 xml:space="preserve">N = </w:t>
      </w:r>
      <w:r>
        <w:rPr>
          <w:rFonts w:ascii="Times New Roman" w:hAnsi="Times New Roman" w:cs="Times New Roman"/>
          <w:sz w:val="24"/>
          <w:szCs w:val="24"/>
          <w:shd w:val="clear" w:color="auto" w:fill="FFFFFF"/>
        </w:rPr>
        <w:t>25,000,</w:t>
      </w:r>
      <w:r>
        <w:rPr>
          <w:rFonts w:ascii="Times New Roman" w:hAnsi="Times New Roman" w:cs="Times New Roman"/>
          <w:b/>
          <w:sz w:val="24"/>
          <w:szCs w:val="24"/>
          <w:shd w:val="clear" w:color="auto" w:fill="FFFFFF"/>
        </w:rPr>
        <w:t xml:space="preserve"> </w:t>
      </w:r>
    </w:p>
    <w:p w14:paraId="668A8475">
      <w:pPr>
        <w:spacing w:line="480" w:lineRule="auto"/>
        <w:jc w:val="both"/>
        <w:rPr>
          <w:rFonts w:ascii="Times New Roman" w:hAnsi="Times New Roman" w:cs="Times New Roman" w:eastAsiaTheme="minorEastAsia"/>
          <w:sz w:val="24"/>
          <w:szCs w:val="24"/>
        </w:rPr>
      </w:pPr>
      <w:r>
        <w:rPr>
          <w:rFonts w:ascii="Times New Roman" w:hAnsi="Times New Roman" w:cs="Times New Roman"/>
          <w:sz w:val="24"/>
          <w:szCs w:val="24"/>
          <w:shd w:val="clear" w:color="auto" w:fill="FFFFFF"/>
        </w:rPr>
        <w:t xml:space="preserve">n = </w:t>
      </w:r>
      <m:oMath>
        <m:f>
          <m:fPr>
            <m:ctrlPr>
              <w:rPr>
                <w:rFonts w:ascii="Cambria Math" w:hAnsi="Cambria Math" w:cs="Times New Roman"/>
                <w:i/>
                <w:sz w:val="24"/>
                <w:szCs w:val="24"/>
              </w:rPr>
            </m:ctrlPr>
          </m:fPr>
          <m:num>
            <m:r>
              <m:rPr>
                <m:sty m:val="p"/>
              </m:rPr>
              <w:rPr>
                <w:rFonts w:ascii="Cambria Math" w:hAnsi="Cambria Math" w:cs="Times New Roman"/>
                <w:sz w:val="24"/>
                <w:szCs w:val="24"/>
                <w:shd w:val="clear" w:color="auto" w:fill="FFFFFF"/>
              </w:rPr>
              <m:t xml:space="preserve">25,000 </m:t>
            </m:r>
            <m:ctrlPr>
              <w:rPr>
                <w:rFonts w:ascii="Cambria Math" w:hAnsi="Cambria Math" w:cs="Times New Roman"/>
                <w:i/>
                <w:sz w:val="24"/>
                <w:szCs w:val="24"/>
              </w:rPr>
            </m:ctrlPr>
          </m:num>
          <m:den>
            <m:r>
              <m:rPr/>
              <w:rPr>
                <w:rFonts w:ascii="Cambria Math" w:hAnsi="Cambria Math" w:cs="Times New Roman"/>
                <w:sz w:val="24"/>
                <w:szCs w:val="24"/>
              </w:rPr>
              <m:t>1+</m:t>
            </m:r>
            <m:r>
              <m:rPr>
                <m:sty m:val="p"/>
              </m:rPr>
              <w:rPr>
                <w:rFonts w:ascii="Cambria Math" w:hAnsi="Cambria Math" w:cs="Times New Roman"/>
                <w:sz w:val="24"/>
                <w:szCs w:val="24"/>
                <w:shd w:val="clear" w:color="auto" w:fill="FFFFFF"/>
              </w:rPr>
              <m:t>25,000</m:t>
            </m:r>
            <m:r>
              <m:rPr/>
              <w:rPr>
                <w:rFonts w:ascii="Cambria Math" w:hAnsi="Cambria Math" w:cs="Times New Roman"/>
                <w:sz w:val="24"/>
                <w:szCs w:val="24"/>
              </w:rPr>
              <m:t xml:space="preserve"> </m:t>
            </m:r>
            <m:sSup>
              <m:sSupPr>
                <m:ctrlPr>
                  <w:rPr>
                    <w:rFonts w:ascii="Cambria Math" w:hAnsi="Cambria Math" w:eastAsia="Times New Roman" w:cs="Times New Roman"/>
                    <w:i/>
                    <w:sz w:val="24"/>
                    <w:szCs w:val="24"/>
                    <w:lang w:eastAsia="en-GB"/>
                  </w:rPr>
                </m:ctrlPr>
              </m:sSupPr>
              <m:e>
                <m:r>
                  <m:rPr/>
                  <w:rPr>
                    <w:rFonts w:ascii="Cambria Math" w:hAnsi="Cambria Math" w:cs="Times New Roman"/>
                    <w:sz w:val="24"/>
                    <w:szCs w:val="24"/>
                  </w:rPr>
                  <m:t>(</m:t>
                </m:r>
                <m:r>
                  <m:rPr>
                    <m:sty m:val="p"/>
                  </m:rPr>
                  <w:rPr>
                    <w:rFonts w:ascii="Cambria Math" w:hAnsi="Cambria Math" w:cs="Times New Roman"/>
                    <w:sz w:val="24"/>
                    <w:szCs w:val="24"/>
                    <w:shd w:val="clear" w:color="auto" w:fill="FFFFFF"/>
                  </w:rPr>
                  <m:t>0.05</m:t>
                </m:r>
                <m:r>
                  <m:rPr/>
                  <w:rPr>
                    <w:rFonts w:ascii="Cambria Math" w:hAnsi="Cambria Math" w:cs="Times New Roman"/>
                    <w:sz w:val="24"/>
                    <w:szCs w:val="24"/>
                  </w:rPr>
                  <m:t>)</m:t>
                </m:r>
                <m:ctrlPr>
                  <w:rPr>
                    <w:rFonts w:ascii="Cambria Math" w:hAnsi="Cambria Math" w:eastAsia="Times New Roman" w:cs="Times New Roman"/>
                    <w:i/>
                    <w:sz w:val="24"/>
                    <w:szCs w:val="24"/>
                    <w:lang w:eastAsia="en-GB"/>
                  </w:rPr>
                </m:ctrlPr>
              </m:e>
              <m:sup>
                <m:r>
                  <m:rPr/>
                  <w:rPr>
                    <w:rFonts w:ascii="Cambria Math" w:hAnsi="Cambria Math" w:eastAsia="Times New Roman" w:cs="Times New Roman"/>
                    <w:sz w:val="24"/>
                    <w:szCs w:val="24"/>
                  </w:rPr>
                  <m:t>2</m:t>
                </m:r>
                <m:ctrlPr>
                  <w:rPr>
                    <w:rFonts w:ascii="Cambria Math" w:hAnsi="Cambria Math" w:eastAsia="Times New Roman" w:cs="Times New Roman"/>
                    <w:i/>
                    <w:sz w:val="24"/>
                    <w:szCs w:val="24"/>
                    <w:lang w:eastAsia="en-GB"/>
                  </w:rPr>
                </m:ctrlPr>
              </m:sup>
            </m:sSup>
            <m:r>
              <m:rPr/>
              <w:rPr>
                <w:rFonts w:ascii="Cambria Math" w:hAnsi="Cambria Math" w:cs="Times New Roman"/>
                <w:sz w:val="24"/>
                <w:szCs w:val="24"/>
              </w:rPr>
              <m:t xml:space="preserve"> </m:t>
            </m:r>
            <m:ctrlPr>
              <w:rPr>
                <w:rFonts w:ascii="Cambria Math" w:hAnsi="Cambria Math" w:cs="Times New Roman"/>
                <w:i/>
                <w:sz w:val="24"/>
                <w:szCs w:val="24"/>
              </w:rPr>
            </m:ctrlPr>
          </m:den>
        </m:f>
      </m:oMath>
      <w:r>
        <w:rPr>
          <w:rFonts w:ascii="Times New Roman" w:hAnsi="Times New Roman" w:cs="Times New Roman" w:eastAsiaTheme="minorEastAsia"/>
          <w:sz w:val="24"/>
          <w:szCs w:val="24"/>
        </w:rPr>
        <w:t xml:space="preserve">  </w:t>
      </w:r>
    </w:p>
    <w:p w14:paraId="4B716DFF">
      <w:pPr>
        <w:spacing w:line="480" w:lineRule="auto"/>
        <w:jc w:val="both"/>
        <w:rPr>
          <w:rFonts w:ascii="Times New Roman" w:hAnsi="Times New Roman" w:cs="Times New Roman"/>
          <w:b/>
          <w:sz w:val="24"/>
          <w:szCs w:val="24"/>
          <w:lang w:val="en-US"/>
        </w:rPr>
      </w:pPr>
      <w:r>
        <w:rPr>
          <w:rFonts w:ascii="Times New Roman" w:hAnsi="Times New Roman" w:cs="Times New Roman"/>
          <w:sz w:val="24"/>
          <w:szCs w:val="24"/>
          <w:shd w:val="clear" w:color="auto" w:fill="FFFFFF"/>
        </w:rPr>
        <w:t>≈ 399</w:t>
      </w:r>
    </w:p>
    <w:p w14:paraId="79C94F65">
      <w:pPr>
        <w:spacing w:line="480" w:lineRule="auto"/>
        <w:jc w:val="both"/>
        <w:rPr>
          <w:rFonts w:ascii="Times New Roman" w:hAnsi="Times New Roman" w:cs="Times New Roman"/>
          <w:b/>
          <w:sz w:val="24"/>
          <w:szCs w:val="24"/>
        </w:rPr>
      </w:pPr>
      <w:r>
        <w:rPr>
          <w:rFonts w:ascii="Times New Roman" w:hAnsi="Times New Roman" w:cs="Times New Roman"/>
          <w:b/>
          <w:sz w:val="24"/>
          <w:szCs w:val="24"/>
          <w:lang w:val="en-US"/>
        </w:rPr>
        <w:t>3.4 Sampling Technique</w:t>
      </w:r>
    </w:p>
    <w:p w14:paraId="070E92FE">
      <w:pPr>
        <w:pStyle w:val="6"/>
        <w:spacing w:after="200" w:afterAutospacing="0" w:line="480" w:lineRule="auto"/>
        <w:jc w:val="both"/>
        <w:rPr>
          <w:color w:val="161F19"/>
          <w:shd w:val="clear" w:color="auto" w:fill="FFFFFF"/>
        </w:rPr>
      </w:pPr>
      <w:r>
        <w:rPr>
          <w:color w:val="161F19"/>
          <w:shd w:val="clear" w:color="auto" w:fill="FFFFFF"/>
        </w:rPr>
        <w:t>Stratified random sampling was used to ensure adequate representation of households across the selected wards in the study area.</w:t>
      </w:r>
    </w:p>
    <w:p w14:paraId="65094976">
      <w:pPr>
        <w:pStyle w:val="6"/>
        <w:spacing w:after="240" w:afterAutospacing="0" w:line="480" w:lineRule="auto"/>
        <w:jc w:val="both"/>
        <w:rPr>
          <w:b/>
          <w:color w:val="161F19"/>
          <w:shd w:val="clear" w:color="auto" w:fill="FFFFFF"/>
        </w:rPr>
      </w:pPr>
      <w:r>
        <w:rPr>
          <w:b/>
          <w:color w:val="161F19"/>
          <w:shd w:val="clear" w:color="auto" w:fill="FFFFFF"/>
        </w:rPr>
        <w:t>3</w:t>
      </w:r>
      <w:r>
        <w:rPr>
          <w:b/>
          <w:color w:val="161F19"/>
          <w:shd w:val="clear" w:color="auto" w:fill="FFFFFF"/>
        </w:rPr>
        <w:t>.5</w:t>
      </w:r>
      <w:r>
        <w:rPr>
          <w:b/>
          <w:color w:val="161F19"/>
          <w:shd w:val="clear" w:color="auto" w:fill="FFFFFF"/>
        </w:rPr>
        <w:t xml:space="preserve"> </w:t>
      </w:r>
      <w:r>
        <w:rPr>
          <w:b/>
          <w:color w:val="161F19"/>
          <w:shd w:val="clear" w:color="auto" w:fill="FFFFFF"/>
        </w:rPr>
        <w:t>Method of</w:t>
      </w:r>
      <w:r>
        <w:rPr>
          <w:b/>
          <w:color w:val="161F19"/>
          <w:shd w:val="clear" w:color="auto" w:fill="FFFFFF"/>
        </w:rPr>
        <w:t xml:space="preserve"> Data Collection</w:t>
      </w:r>
    </w:p>
    <w:p w14:paraId="746D2D14">
      <w:pPr>
        <w:pStyle w:val="6"/>
        <w:numPr>
          <w:ilvl w:val="0"/>
          <w:numId w:val="4"/>
        </w:numPr>
        <w:spacing w:before="0" w:beforeAutospacing="0" w:after="0" w:afterAutospacing="0" w:line="480" w:lineRule="auto"/>
        <w:ind w:left="720" w:leftChars="0" w:hanging="360" w:firstLineChars="0"/>
        <w:jc w:val="both"/>
        <w:rPr>
          <w:color w:val="161F19"/>
          <w:shd w:val="clear" w:color="auto" w:fill="FFFFFF"/>
          <w:lang w:val="en-US"/>
        </w:rPr>
      </w:pPr>
      <w:r>
        <w:rPr>
          <w:color w:val="161F19"/>
          <w:shd w:val="clear" w:color="auto" w:fill="FFFFFF"/>
        </w:rPr>
        <w:t xml:space="preserve">A structured questionnaire was used to collect data from respondents. </w:t>
      </w:r>
    </w:p>
    <w:p w14:paraId="209377C7">
      <w:pPr>
        <w:pStyle w:val="13"/>
        <w:numPr>
          <w:ilvl w:val="0"/>
          <w:numId w:val="4"/>
        </w:numPr>
        <w:spacing w:after="23" w:line="480" w:lineRule="auto"/>
        <w:ind w:left="720" w:leftChars="0" w:right="6" w:hanging="360" w:firstLineChars="0"/>
        <w:jc w:val="both"/>
        <w:rPr>
          <w:rStyle w:val="10"/>
          <w:rFonts w:ascii="Times New Roman" w:hAnsi="Times New Roman" w:cs="Times New Roman"/>
          <w:sz w:val="24"/>
          <w:szCs w:val="24"/>
        </w:rPr>
      </w:pPr>
      <w:r>
        <w:rPr>
          <w:rFonts w:ascii="Times New Roman" w:hAnsi="Times New Roman" w:cs="Times New Roman"/>
          <w:sz w:val="24"/>
          <w:szCs w:val="24"/>
        </w:rPr>
        <w:t>Household surveys capturing resident’s view on solid waste.</w:t>
      </w:r>
    </w:p>
    <w:p w14:paraId="6B7E1569">
      <w:pPr>
        <w:pStyle w:val="13"/>
        <w:numPr>
          <w:ilvl w:val="0"/>
          <w:numId w:val="4"/>
        </w:numPr>
        <w:spacing w:after="23" w:line="480" w:lineRule="auto"/>
        <w:ind w:left="720" w:leftChars="0" w:right="6" w:hanging="360" w:firstLineChars="0"/>
        <w:jc w:val="both"/>
        <w:rPr>
          <w:rStyle w:val="10"/>
          <w:rFonts w:ascii="Times New Roman" w:hAnsi="Times New Roman" w:cs="Times New Roman"/>
          <w:sz w:val="24"/>
          <w:szCs w:val="24"/>
        </w:rPr>
      </w:pPr>
      <w:r>
        <w:rPr>
          <w:rFonts w:ascii="Times New Roman" w:hAnsi="Times New Roman" w:cs="Times New Roman"/>
          <w:sz w:val="24"/>
          <w:szCs w:val="24"/>
        </w:rPr>
        <w:t>Interview sessions with community leaders.</w:t>
      </w:r>
    </w:p>
    <w:p w14:paraId="613CDF3C">
      <w:pPr>
        <w:spacing w:line="480" w:lineRule="auto"/>
        <w:jc w:val="both"/>
        <w:rPr>
          <w:rFonts w:ascii="Times New Roman" w:hAnsi="Times New Roman" w:cs="Times New Roman"/>
          <w:sz w:val="24"/>
          <w:szCs w:val="24"/>
        </w:rPr>
      </w:pPr>
      <w:r>
        <w:rPr>
          <w:rStyle w:val="10"/>
          <w:rFonts w:ascii="Times New Roman" w:hAnsi="Times New Roman" w:cs="Times New Roman"/>
          <w:sz w:val="24"/>
          <w:szCs w:val="24"/>
        </w:rPr>
        <w:t>Primary data:</w:t>
      </w:r>
      <w:r>
        <w:rPr>
          <w:rFonts w:ascii="Times New Roman" w:hAnsi="Times New Roman" w:cs="Times New Roman"/>
          <w:sz w:val="24"/>
          <w:szCs w:val="24"/>
        </w:rPr>
        <w:t xml:space="preserve"> Household surveys, focus group discussions.</w:t>
      </w:r>
    </w:p>
    <w:p w14:paraId="4158991D">
      <w:pPr>
        <w:spacing w:line="480" w:lineRule="auto"/>
        <w:jc w:val="both"/>
        <w:rPr>
          <w:b/>
          <w:color w:val="161F19"/>
          <w:shd w:val="clear" w:color="auto" w:fill="FFFFFF"/>
        </w:rPr>
      </w:pPr>
      <w:r>
        <w:rPr>
          <w:rStyle w:val="10"/>
          <w:rFonts w:ascii="Times New Roman" w:hAnsi="Times New Roman" w:cs="Times New Roman"/>
          <w:sz w:val="24"/>
          <w:szCs w:val="24"/>
        </w:rPr>
        <w:t>Secondary data:</w:t>
      </w:r>
      <w:r>
        <w:rPr>
          <w:rFonts w:ascii="Times New Roman" w:hAnsi="Times New Roman" w:cs="Times New Roman"/>
          <w:sz w:val="24"/>
          <w:szCs w:val="24"/>
        </w:rPr>
        <w:t xml:space="preserve"> Record of waste evacuation gotten from Calabar Urban Development Authority (CUDA Ifere Paul., 2025).</w:t>
      </w:r>
    </w:p>
    <w:p w14:paraId="3EDFB685">
      <w:pPr>
        <w:pStyle w:val="6"/>
        <w:spacing w:after="0" w:afterAutospacing="0" w:line="480" w:lineRule="auto"/>
        <w:jc w:val="both"/>
        <w:rPr>
          <w:b/>
          <w:color w:val="161F19"/>
          <w:shd w:val="clear" w:color="auto" w:fill="FFFFFF"/>
        </w:rPr>
      </w:pPr>
      <w:r>
        <w:rPr>
          <w:b/>
          <w:color w:val="161F19"/>
          <w:shd w:val="clear" w:color="auto" w:fill="FFFFFF"/>
        </w:rPr>
        <w:t>3.6</w:t>
      </w:r>
      <w:r>
        <w:rPr>
          <w:b/>
          <w:color w:val="161F19"/>
          <w:shd w:val="clear" w:color="auto" w:fill="FFFFFF"/>
        </w:rPr>
        <w:t xml:space="preserve"> Instruments for Data Collection</w:t>
      </w:r>
    </w:p>
    <w:p w14:paraId="243C5BF4">
      <w:pPr>
        <w:pStyle w:val="6"/>
        <w:spacing w:after="0" w:afterAutospacing="0" w:line="480" w:lineRule="auto"/>
        <w:jc w:val="both"/>
        <w:rPr>
          <w:color w:val="161F19"/>
          <w:shd w:val="clear" w:color="auto" w:fill="FFFFFF"/>
        </w:rPr>
      </w:pPr>
      <w:r>
        <w:rPr>
          <w:color w:val="161F19"/>
          <w:shd w:val="clear" w:color="auto" w:fill="FFFFFF"/>
        </w:rPr>
        <w:t>Structured qu</w:t>
      </w:r>
      <w:r>
        <w:rPr>
          <w:color w:val="161F19"/>
          <w:shd w:val="clear" w:color="auto" w:fill="FFFFFF"/>
        </w:rPr>
        <w:t>estionnaire and fo</w:t>
      </w:r>
      <w:r>
        <w:t>cus group discussion guides.</w:t>
      </w:r>
    </w:p>
    <w:p w14:paraId="5BBA632C">
      <w:pPr>
        <w:pStyle w:val="6"/>
        <w:spacing w:after="0" w:afterAutospacing="0" w:line="480" w:lineRule="auto"/>
        <w:jc w:val="both"/>
        <w:rPr>
          <w:b/>
          <w:color w:val="161F19"/>
          <w:shd w:val="clear" w:color="auto" w:fill="FFFFFF"/>
        </w:rPr>
      </w:pPr>
      <w:r>
        <w:rPr>
          <w:b/>
          <w:color w:val="161F19"/>
          <w:shd w:val="clear" w:color="auto" w:fill="FFFFFF"/>
        </w:rPr>
        <w:t>3</w:t>
      </w:r>
      <w:r>
        <w:rPr>
          <w:b/>
          <w:color w:val="161F19"/>
          <w:shd w:val="clear" w:color="auto" w:fill="FFFFFF"/>
        </w:rPr>
        <w:t>.7</w:t>
      </w:r>
      <w:r>
        <w:rPr>
          <w:b/>
          <w:color w:val="161F19"/>
          <w:shd w:val="clear" w:color="auto" w:fill="FFFFFF"/>
        </w:rPr>
        <w:t xml:space="preserve"> </w:t>
      </w:r>
      <w:r>
        <w:rPr>
          <w:b/>
          <w:color w:val="161F19"/>
          <w:shd w:val="clear" w:color="auto" w:fill="FFFFFF"/>
        </w:rPr>
        <w:t>Validity and Reliabilit</w:t>
      </w:r>
      <w:r>
        <w:rPr>
          <w:b/>
          <w:color w:val="161F19"/>
          <w:shd w:val="clear" w:color="auto" w:fill="FFFFFF"/>
        </w:rPr>
        <w:t xml:space="preserve">y of Instrument </w:t>
      </w:r>
    </w:p>
    <w:p w14:paraId="1A88D04C">
      <w:pPr>
        <w:pStyle w:val="6"/>
        <w:spacing w:after="0" w:afterAutospacing="0" w:line="480" w:lineRule="auto"/>
        <w:jc w:val="both"/>
        <w:rPr>
          <w:color w:val="161F19"/>
          <w:shd w:val="clear" w:color="auto" w:fill="FFFFFF"/>
        </w:rPr>
      </w:pPr>
      <w:r>
        <w:rPr>
          <w:color w:val="161F19"/>
          <w:shd w:val="clear" w:color="auto" w:fill="FFFFFF"/>
        </w:rPr>
        <w:t>The instrume</w:t>
      </w:r>
      <w:r>
        <w:rPr>
          <w:color w:val="161F19"/>
          <w:shd w:val="clear" w:color="auto" w:fill="FFFFFF"/>
        </w:rPr>
        <w:t>nt was validated by experts in E</w:t>
      </w:r>
      <w:r>
        <w:rPr>
          <w:color w:val="161F19"/>
          <w:shd w:val="clear" w:color="auto" w:fill="FFFFFF"/>
        </w:rPr>
        <w:t>nvironmental</w:t>
      </w:r>
      <w:r>
        <w:rPr>
          <w:color w:val="161F19"/>
          <w:shd w:val="clear" w:color="auto" w:fill="FFFFFF"/>
        </w:rPr>
        <w:t xml:space="preserve"> Science and Management T</w:t>
      </w:r>
      <w:r>
        <w:rPr>
          <w:color w:val="161F19"/>
          <w:shd w:val="clear" w:color="auto" w:fill="FFFFFF"/>
        </w:rPr>
        <w:t>echnology</w:t>
      </w:r>
      <w:r>
        <w:rPr>
          <w:color w:val="161F19"/>
          <w:shd w:val="clear" w:color="auto" w:fill="FFFFFF"/>
        </w:rPr>
        <w:t xml:space="preserve">. Reliability testing using the Pearson Product Moment Correlation Coefficient produced a reliability coefficient of 0.85. </w:t>
      </w:r>
    </w:p>
    <w:p w14:paraId="438E55B3">
      <w:pPr>
        <w:pStyle w:val="6"/>
        <w:spacing w:after="0" w:afterAutospacing="0" w:line="480" w:lineRule="auto"/>
        <w:jc w:val="both"/>
        <w:rPr>
          <w:b/>
          <w:color w:val="161F19"/>
          <w:shd w:val="clear" w:color="auto" w:fill="FFFFFF"/>
        </w:rPr>
      </w:pPr>
      <w:r>
        <w:rPr>
          <w:b/>
          <w:color w:val="161F19"/>
          <w:shd w:val="clear" w:color="auto" w:fill="FFFFFF"/>
        </w:rPr>
        <w:t>3.8</w:t>
      </w:r>
      <w:r>
        <w:rPr>
          <w:b/>
          <w:color w:val="161F19"/>
          <w:shd w:val="clear" w:color="auto" w:fill="FFFFFF"/>
        </w:rPr>
        <w:t xml:space="preserve"> </w:t>
      </w:r>
      <w:r>
        <w:rPr>
          <w:rStyle w:val="10"/>
        </w:rPr>
        <w:t>Data Analysis</w:t>
      </w:r>
    </w:p>
    <w:p w14:paraId="43AE6F3A">
      <w:pPr>
        <w:pStyle w:val="6"/>
        <w:spacing w:after="240" w:afterAutospacing="0" w:line="480" w:lineRule="auto"/>
        <w:jc w:val="both"/>
        <w:rPr>
          <w:color w:val="161F19"/>
          <w:shd w:val="clear" w:color="auto" w:fill="FFFFFF"/>
        </w:rPr>
      </w:pPr>
      <w:r>
        <w:rPr>
          <w:color w:val="161F19"/>
          <w:shd w:val="clear" w:color="auto" w:fill="FFFFFF"/>
        </w:rPr>
        <w:t xml:space="preserve">Analysis was carried out using descriptive method and </w:t>
      </w:r>
      <w:r>
        <w:rPr>
          <w:color w:val="161F19"/>
          <w:shd w:val="clear" w:color="auto" w:fill="FFFFFF"/>
        </w:rPr>
        <w:t>chi-square analysis</w:t>
      </w:r>
    </w:p>
    <w:p w14:paraId="6DCB27BA">
      <w:pPr>
        <w:spacing w:line="480" w:lineRule="auto"/>
        <w:jc w:val="both"/>
        <w:rPr>
          <w:rFonts w:ascii="Times New Roman" w:hAnsi="Times New Roman" w:cs="Times New Roman"/>
          <w:b/>
          <w:color w:val="161F19"/>
          <w:sz w:val="24"/>
          <w:szCs w:val="24"/>
          <w:shd w:val="clear" w:color="auto" w:fill="FFFFFF"/>
        </w:rPr>
      </w:pPr>
    </w:p>
    <w:p w14:paraId="47C0D5E8">
      <w:pPr>
        <w:spacing w:line="480" w:lineRule="auto"/>
        <w:jc w:val="both"/>
        <w:rPr>
          <w:rFonts w:ascii="Times New Roman" w:hAnsi="Times New Roman" w:cs="Times New Roman"/>
          <w:b/>
          <w:color w:val="161F19"/>
          <w:sz w:val="24"/>
          <w:szCs w:val="24"/>
          <w:shd w:val="clear" w:color="auto" w:fill="FFFFFF"/>
        </w:rPr>
      </w:pPr>
    </w:p>
    <w:p w14:paraId="5919F322">
      <w:pPr>
        <w:spacing w:line="480" w:lineRule="auto"/>
        <w:jc w:val="both"/>
        <w:rPr>
          <w:rFonts w:ascii="Times New Roman" w:hAnsi="Times New Roman" w:cs="Times New Roman"/>
          <w:b/>
          <w:color w:val="161F19"/>
          <w:sz w:val="24"/>
          <w:szCs w:val="24"/>
          <w:shd w:val="clear" w:color="auto" w:fill="FFFFFF"/>
        </w:rPr>
      </w:pPr>
      <w:r>
        <w:rPr>
          <w:rFonts w:ascii="Times New Roman" w:hAnsi="Times New Roman" w:cs="Times New Roman"/>
          <w:b/>
          <w:color w:val="161F19"/>
          <w:sz w:val="24"/>
          <w:szCs w:val="24"/>
          <w:shd w:val="clear" w:color="auto" w:fill="FFFFFF"/>
        </w:rPr>
        <w:t>4</w:t>
      </w:r>
      <w:r>
        <w:rPr>
          <w:rFonts w:ascii="Times New Roman" w:hAnsi="Times New Roman" w:cs="Times New Roman"/>
          <w:b/>
          <w:color w:val="161F19"/>
          <w:sz w:val="24"/>
          <w:szCs w:val="24"/>
          <w:shd w:val="clear" w:color="auto" w:fill="FFFFFF"/>
        </w:rPr>
        <w:t xml:space="preserve"> </w:t>
      </w:r>
      <w:r>
        <w:rPr>
          <w:rFonts w:ascii="Times New Roman" w:hAnsi="Times New Roman" w:cs="Times New Roman"/>
          <w:b/>
          <w:color w:val="161F19"/>
          <w:sz w:val="24"/>
          <w:szCs w:val="24"/>
          <w:shd w:val="clear" w:color="auto" w:fill="FFFFFF"/>
        </w:rPr>
        <w:t>Results a</w:t>
      </w:r>
      <w:r>
        <w:rPr>
          <w:rFonts w:ascii="Times New Roman" w:hAnsi="Times New Roman" w:cs="Times New Roman"/>
          <w:b/>
          <w:color w:val="161F19"/>
          <w:sz w:val="24"/>
          <w:szCs w:val="24"/>
          <w:shd w:val="clear" w:color="auto" w:fill="FFFFFF"/>
        </w:rPr>
        <w:t xml:space="preserve">nd Discussion </w:t>
      </w:r>
    </w:p>
    <w:p w14:paraId="0B39142E">
      <w:pPr>
        <w:spacing w:line="480" w:lineRule="auto"/>
        <w:jc w:val="both"/>
        <w:rPr>
          <w:rFonts w:ascii="Times New Roman" w:hAnsi="Times New Roman" w:cs="Times New Roman"/>
          <w:b/>
          <w:color w:val="161F19"/>
          <w:sz w:val="24"/>
          <w:szCs w:val="24"/>
          <w:shd w:val="clear" w:color="auto" w:fill="FFFFFF"/>
        </w:rPr>
      </w:pPr>
      <w:r>
        <w:rPr>
          <w:rFonts w:ascii="Times New Roman" w:hAnsi="Times New Roman" w:cs="Times New Roman"/>
          <w:b/>
          <w:color w:val="161F19"/>
          <w:sz w:val="24"/>
          <w:szCs w:val="24"/>
          <w:shd w:val="clear" w:color="auto" w:fill="FFFFFF"/>
        </w:rPr>
        <w:t xml:space="preserve">4.1 </w:t>
      </w:r>
      <w:r>
        <w:rPr>
          <w:rFonts w:ascii="Times New Roman" w:hAnsi="Times New Roman" w:cs="Times New Roman"/>
          <w:b/>
          <w:color w:val="161F19"/>
          <w:sz w:val="24"/>
          <w:szCs w:val="24"/>
          <w:shd w:val="clear" w:color="auto" w:fill="FFFFFF"/>
        </w:rPr>
        <w:t xml:space="preserve">Socio-Demographic Characteristics of Respondents </w:t>
      </w:r>
    </w:p>
    <w:p w14:paraId="0300BCAB">
      <w:pPr>
        <w:spacing w:after="0" w:line="480" w:lineRule="auto"/>
        <w:jc w:val="both"/>
        <w:rPr>
          <w:rFonts w:ascii="Times New Roman" w:hAnsi="Times New Roman" w:cs="Times New Roman"/>
          <w:color w:val="161F19"/>
          <w:sz w:val="24"/>
          <w:szCs w:val="24"/>
          <w:shd w:val="clear" w:color="auto" w:fill="FFFFFF"/>
        </w:rPr>
      </w:pPr>
      <w:r>
        <w:rPr>
          <w:rFonts w:ascii="Times New Roman" w:hAnsi="Times New Roman" w:cs="Times New Roman"/>
          <w:color w:val="161F19"/>
          <w:sz w:val="24"/>
          <w:szCs w:val="24"/>
          <w:shd w:val="clear" w:color="auto" w:fill="FFFFFF"/>
        </w:rPr>
        <w:t xml:space="preserve">The study revealed that 53.25% of respondents were female, while 46.75% were male. </w:t>
      </w:r>
    </w:p>
    <w:p w14:paraId="55D4FE01">
      <w:pPr>
        <w:spacing w:after="0" w:line="480" w:lineRule="auto"/>
        <w:jc w:val="both"/>
        <w:rPr>
          <w:rFonts w:ascii="Times New Roman" w:hAnsi="Times New Roman" w:cs="Times New Roman"/>
          <w:color w:val="161F19"/>
          <w:sz w:val="24"/>
          <w:szCs w:val="24"/>
          <w:shd w:val="clear" w:color="auto" w:fill="FFFFFF"/>
        </w:rPr>
      </w:pPr>
      <w:r>
        <w:rPr>
          <w:rFonts w:ascii="Times New Roman" w:hAnsi="Times New Roman" w:cs="Times New Roman"/>
          <w:color w:val="161F19"/>
          <w:sz w:val="24"/>
          <w:szCs w:val="24"/>
          <w:shd w:val="clear" w:color="auto" w:fill="FFFFFF"/>
        </w:rPr>
        <w:t>Most of the respondents were students, civil servants and traders. This means that the respondents were the active urban populace in the waste g</w:t>
      </w:r>
      <w:r>
        <w:rPr>
          <w:rFonts w:ascii="Times New Roman" w:hAnsi="Times New Roman" w:cs="Times New Roman"/>
          <w:color w:val="161F19"/>
          <w:sz w:val="24"/>
          <w:szCs w:val="24"/>
          <w:shd w:val="clear" w:color="auto" w:fill="FFFFFF"/>
        </w:rPr>
        <w:t>eneration and disposal crisis</w:t>
      </w:r>
      <w:r>
        <w:rPr>
          <w:rFonts w:ascii="Times New Roman" w:hAnsi="Times New Roman" w:cs="Times New Roman"/>
          <w:color w:val="161F19"/>
          <w:sz w:val="24"/>
          <w:szCs w:val="24"/>
          <w:shd w:val="clear" w:color="auto" w:fill="FFFFFF"/>
        </w:rPr>
        <w:t xml:space="preserve">. </w:t>
      </w:r>
    </w:p>
    <w:p w14:paraId="6BF059E9">
      <w:pPr>
        <w:spacing w:after="0" w:line="480" w:lineRule="auto"/>
        <w:jc w:val="both"/>
        <w:rPr>
          <w:rFonts w:ascii="Times New Roman" w:hAnsi="Times New Roman" w:cs="Times New Roman"/>
          <w:color w:val="161F19"/>
          <w:sz w:val="24"/>
          <w:szCs w:val="24"/>
          <w:shd w:val="clear" w:color="auto" w:fill="FFFFFF"/>
        </w:rPr>
      </w:pPr>
      <w:r>
        <w:rPr>
          <w:rFonts w:ascii="Times New Roman" w:hAnsi="Times New Roman" w:cs="Times New Roman"/>
          <w:b/>
          <w:bCs/>
          <w:sz w:val="24"/>
          <w:szCs w:val="24"/>
        </w:rPr>
        <w:t>Table 4.1 gender distribution of respondents?</w:t>
      </w:r>
    </w:p>
    <w:tbl>
      <w:tblPr>
        <w:tblStyle w:val="12"/>
        <w:tblW w:w="3402" w:type="dxa"/>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5"/>
        <w:gridCol w:w="1276"/>
        <w:gridCol w:w="851"/>
      </w:tblGrid>
      <w:tr w14:paraId="40038383">
        <w:tblPrEx>
          <w:tblLayout w:type="fixed"/>
        </w:tblPrEx>
        <w:trPr>
          <w:trHeight w:val="300" w:hRule="atLeast"/>
        </w:trPr>
        <w:tc>
          <w:tcPr>
            <w:tcW w:w="1275" w:type="dxa"/>
            <w:tcBorders>
              <w:top w:val="single" w:color="auto" w:sz="4" w:space="0"/>
              <w:left w:val="single" w:color="auto" w:sz="4" w:space="0"/>
              <w:bottom w:val="single" w:color="auto" w:sz="4" w:space="0"/>
              <w:right w:val="single" w:color="auto" w:sz="4" w:space="0"/>
            </w:tcBorders>
          </w:tcPr>
          <w:p w14:paraId="6051A825">
            <w:pPr>
              <w:spacing w:after="0" w:line="480" w:lineRule="auto"/>
              <w:jc w:val="both"/>
              <w:rPr>
                <w:rFonts w:ascii="Times New Roman" w:hAnsi="Times New Roman" w:eastAsia="Times New Roman" w:cs="Times New Roman"/>
                <w:color w:val="000000"/>
                <w:sz w:val="24"/>
                <w:szCs w:val="24"/>
                <w:lang w:val="en-US"/>
              </w:rPr>
            </w:pPr>
            <w:r>
              <w:rPr>
                <w:rFonts w:ascii="Times New Roman" w:hAnsi="Times New Roman" w:eastAsia="Times New Roman" w:cs="Times New Roman"/>
                <w:color w:val="000000"/>
                <w:sz w:val="24"/>
                <w:szCs w:val="24"/>
                <w:lang w:val="en-US"/>
              </w:rPr>
              <w:t>Gender</w:t>
            </w:r>
          </w:p>
        </w:tc>
        <w:tc>
          <w:tcPr>
            <w:tcW w:w="1276" w:type="dxa"/>
            <w:tcBorders>
              <w:top w:val="single" w:color="auto" w:sz="4" w:space="0"/>
              <w:left w:val="single" w:color="auto" w:sz="4" w:space="0"/>
              <w:bottom w:val="single" w:color="auto" w:sz="4" w:space="0"/>
              <w:right w:val="single" w:color="auto" w:sz="4" w:space="0"/>
            </w:tcBorders>
          </w:tcPr>
          <w:p w14:paraId="00A140FE">
            <w:pPr>
              <w:spacing w:after="0" w:line="480" w:lineRule="auto"/>
              <w:jc w:val="both"/>
              <w:rPr>
                <w:rFonts w:ascii="Times New Roman" w:hAnsi="Times New Roman" w:eastAsia="Times New Roman" w:cs="Times New Roman"/>
                <w:color w:val="000000"/>
                <w:sz w:val="24"/>
                <w:szCs w:val="24"/>
                <w:lang w:val="en-US"/>
              </w:rPr>
            </w:pPr>
            <w:r>
              <w:rPr>
                <w:rFonts w:ascii="Times New Roman" w:hAnsi="Times New Roman" w:eastAsia="Times New Roman" w:cs="Times New Roman"/>
                <w:color w:val="000000"/>
                <w:sz w:val="24"/>
                <w:szCs w:val="24"/>
                <w:lang w:val="en-US"/>
              </w:rPr>
              <w:t>Frequency</w:t>
            </w:r>
          </w:p>
        </w:tc>
        <w:tc>
          <w:tcPr>
            <w:tcW w:w="851" w:type="dxa"/>
            <w:tcBorders>
              <w:top w:val="single" w:color="auto" w:sz="4" w:space="0"/>
              <w:left w:val="single" w:color="auto" w:sz="4" w:space="0"/>
              <w:bottom w:val="single" w:color="auto" w:sz="4" w:space="0"/>
              <w:right w:val="single" w:color="auto" w:sz="4" w:space="0"/>
            </w:tcBorders>
          </w:tcPr>
          <w:p w14:paraId="204B2C46">
            <w:pPr>
              <w:spacing w:after="0" w:line="480" w:lineRule="auto"/>
              <w:jc w:val="both"/>
              <w:rPr>
                <w:rFonts w:ascii="Times New Roman" w:hAnsi="Times New Roman" w:eastAsia="Times New Roman" w:cs="Times New Roman"/>
                <w:color w:val="000000"/>
                <w:sz w:val="24"/>
                <w:szCs w:val="24"/>
                <w:lang w:val="en-US"/>
              </w:rPr>
            </w:pPr>
            <w:r>
              <w:rPr>
                <w:rFonts w:ascii="Times New Roman" w:hAnsi="Times New Roman" w:eastAsia="Times New Roman" w:cs="Times New Roman"/>
                <w:color w:val="000000"/>
                <w:sz w:val="24"/>
                <w:szCs w:val="24"/>
                <w:lang w:val="en-US"/>
              </w:rPr>
              <w:t>%</w:t>
            </w:r>
          </w:p>
        </w:tc>
      </w:tr>
      <w:tr w14:paraId="3FE424BD">
        <w:tblPrEx>
          <w:tblLayout w:type="fixed"/>
        </w:tblPrEx>
        <w:trPr>
          <w:trHeight w:val="300" w:hRule="atLeast"/>
        </w:trPr>
        <w:tc>
          <w:tcPr>
            <w:tcW w:w="1275" w:type="dxa"/>
            <w:tcBorders>
              <w:top w:val="single" w:color="auto" w:sz="4" w:space="0"/>
              <w:left w:val="single" w:color="auto" w:sz="4" w:space="0"/>
              <w:bottom w:val="single" w:color="auto" w:sz="4" w:space="0"/>
              <w:right w:val="single" w:color="auto" w:sz="4" w:space="0"/>
            </w:tcBorders>
          </w:tcPr>
          <w:p w14:paraId="4F47C5A6">
            <w:pPr>
              <w:spacing w:after="0" w:line="480" w:lineRule="auto"/>
              <w:jc w:val="both"/>
              <w:rPr>
                <w:rFonts w:ascii="Times New Roman" w:hAnsi="Times New Roman" w:eastAsia="Times New Roman" w:cs="Times New Roman"/>
                <w:color w:val="000000"/>
                <w:sz w:val="24"/>
                <w:szCs w:val="24"/>
                <w:lang w:val="en-US"/>
              </w:rPr>
            </w:pPr>
            <w:r>
              <w:rPr>
                <w:rFonts w:ascii="Times New Roman" w:hAnsi="Times New Roman" w:eastAsia="Times New Roman" w:cs="Times New Roman"/>
                <w:color w:val="000000"/>
                <w:sz w:val="24"/>
                <w:szCs w:val="24"/>
                <w:lang w:val="en-US"/>
              </w:rPr>
              <w:t>Male</w:t>
            </w:r>
          </w:p>
        </w:tc>
        <w:tc>
          <w:tcPr>
            <w:tcW w:w="1276" w:type="dxa"/>
            <w:tcBorders>
              <w:top w:val="single" w:color="auto" w:sz="4" w:space="0"/>
              <w:left w:val="single" w:color="auto" w:sz="4" w:space="0"/>
              <w:bottom w:val="single" w:color="auto" w:sz="4" w:space="0"/>
              <w:right w:val="single" w:color="auto" w:sz="4" w:space="0"/>
            </w:tcBorders>
          </w:tcPr>
          <w:p w14:paraId="46405EEB">
            <w:pPr>
              <w:spacing w:after="0" w:line="480" w:lineRule="auto"/>
              <w:jc w:val="both"/>
              <w:rPr>
                <w:rFonts w:ascii="Times New Roman" w:hAnsi="Times New Roman" w:eastAsia="Times New Roman" w:cs="Times New Roman"/>
                <w:color w:val="000000"/>
                <w:sz w:val="24"/>
                <w:szCs w:val="24"/>
                <w:lang w:val="en-US"/>
              </w:rPr>
            </w:pPr>
            <w:r>
              <w:rPr>
                <w:rFonts w:ascii="Times New Roman" w:hAnsi="Times New Roman" w:eastAsia="Times New Roman" w:cs="Times New Roman"/>
                <w:color w:val="000000"/>
                <w:sz w:val="24"/>
                <w:szCs w:val="24"/>
                <w:lang w:val="en-US"/>
              </w:rPr>
              <w:t>187</w:t>
            </w:r>
          </w:p>
        </w:tc>
        <w:tc>
          <w:tcPr>
            <w:tcW w:w="851" w:type="dxa"/>
            <w:tcBorders>
              <w:top w:val="single" w:color="auto" w:sz="4" w:space="0"/>
              <w:left w:val="single" w:color="auto" w:sz="4" w:space="0"/>
              <w:bottom w:val="single" w:color="auto" w:sz="4" w:space="0"/>
              <w:right w:val="single" w:color="auto" w:sz="4" w:space="0"/>
            </w:tcBorders>
          </w:tcPr>
          <w:p w14:paraId="0BDA1BFE">
            <w:pPr>
              <w:spacing w:after="0" w:line="480" w:lineRule="auto"/>
              <w:jc w:val="both"/>
              <w:rPr>
                <w:rFonts w:ascii="Times New Roman" w:hAnsi="Times New Roman" w:eastAsia="Times New Roman" w:cs="Times New Roman"/>
                <w:color w:val="000000"/>
                <w:sz w:val="24"/>
                <w:szCs w:val="24"/>
                <w:lang w:val="en-US"/>
              </w:rPr>
            </w:pPr>
            <w:r>
              <w:rPr>
                <w:rFonts w:ascii="Times New Roman" w:hAnsi="Times New Roman" w:eastAsia="Times New Roman" w:cs="Times New Roman"/>
                <w:color w:val="000000"/>
                <w:sz w:val="24"/>
                <w:szCs w:val="24"/>
                <w:lang w:val="en-US"/>
              </w:rPr>
              <w:t>46.75</w:t>
            </w:r>
          </w:p>
        </w:tc>
      </w:tr>
      <w:tr w14:paraId="0B932A3A">
        <w:tblPrEx>
          <w:tblLayout w:type="fixed"/>
        </w:tblPrEx>
        <w:trPr>
          <w:trHeight w:val="300" w:hRule="atLeast"/>
        </w:trPr>
        <w:tc>
          <w:tcPr>
            <w:tcW w:w="1275" w:type="dxa"/>
            <w:tcBorders>
              <w:top w:val="single" w:color="auto" w:sz="4" w:space="0"/>
              <w:left w:val="single" w:color="auto" w:sz="4" w:space="0"/>
              <w:bottom w:val="single" w:color="auto" w:sz="4" w:space="0"/>
              <w:right w:val="single" w:color="auto" w:sz="4" w:space="0"/>
            </w:tcBorders>
          </w:tcPr>
          <w:p w14:paraId="14124A89">
            <w:pPr>
              <w:spacing w:after="0" w:line="480" w:lineRule="auto"/>
              <w:jc w:val="both"/>
              <w:rPr>
                <w:rFonts w:ascii="Times New Roman" w:hAnsi="Times New Roman" w:eastAsia="Times New Roman" w:cs="Times New Roman"/>
                <w:color w:val="000000"/>
                <w:sz w:val="24"/>
                <w:szCs w:val="24"/>
                <w:lang w:val="en-US"/>
              </w:rPr>
            </w:pPr>
            <w:r>
              <w:rPr>
                <w:rFonts w:ascii="Times New Roman" w:hAnsi="Times New Roman" w:eastAsia="Times New Roman" w:cs="Times New Roman"/>
                <w:color w:val="000000"/>
                <w:sz w:val="24"/>
                <w:szCs w:val="24"/>
                <w:lang w:val="en-US"/>
              </w:rPr>
              <w:t>Female</w:t>
            </w:r>
          </w:p>
        </w:tc>
        <w:tc>
          <w:tcPr>
            <w:tcW w:w="1276" w:type="dxa"/>
            <w:tcBorders>
              <w:top w:val="single" w:color="auto" w:sz="4" w:space="0"/>
              <w:left w:val="single" w:color="auto" w:sz="4" w:space="0"/>
              <w:bottom w:val="single" w:color="auto" w:sz="4" w:space="0"/>
              <w:right w:val="single" w:color="auto" w:sz="4" w:space="0"/>
            </w:tcBorders>
          </w:tcPr>
          <w:p w14:paraId="0AF8992F">
            <w:pPr>
              <w:spacing w:after="0" w:line="480" w:lineRule="auto"/>
              <w:jc w:val="both"/>
              <w:rPr>
                <w:rFonts w:ascii="Times New Roman" w:hAnsi="Times New Roman" w:eastAsia="Times New Roman" w:cs="Times New Roman"/>
                <w:color w:val="000000"/>
                <w:sz w:val="24"/>
                <w:szCs w:val="24"/>
                <w:lang w:val="en-US"/>
              </w:rPr>
            </w:pPr>
            <w:r>
              <w:rPr>
                <w:rFonts w:ascii="Times New Roman" w:hAnsi="Times New Roman" w:eastAsia="Times New Roman" w:cs="Times New Roman"/>
                <w:color w:val="000000"/>
                <w:sz w:val="24"/>
                <w:szCs w:val="24"/>
                <w:lang w:val="en-US"/>
              </w:rPr>
              <w:t>213</w:t>
            </w:r>
          </w:p>
        </w:tc>
        <w:tc>
          <w:tcPr>
            <w:tcW w:w="851" w:type="dxa"/>
            <w:tcBorders>
              <w:top w:val="single" w:color="auto" w:sz="4" w:space="0"/>
              <w:left w:val="single" w:color="auto" w:sz="4" w:space="0"/>
              <w:bottom w:val="single" w:color="auto" w:sz="4" w:space="0"/>
              <w:right w:val="single" w:color="auto" w:sz="4" w:space="0"/>
            </w:tcBorders>
          </w:tcPr>
          <w:p w14:paraId="79212238">
            <w:pPr>
              <w:spacing w:after="0" w:line="480" w:lineRule="auto"/>
              <w:jc w:val="both"/>
              <w:rPr>
                <w:rFonts w:ascii="Times New Roman" w:hAnsi="Times New Roman" w:eastAsia="Times New Roman" w:cs="Times New Roman"/>
                <w:color w:val="000000"/>
                <w:sz w:val="24"/>
                <w:szCs w:val="24"/>
                <w:lang w:val="en-US"/>
              </w:rPr>
            </w:pPr>
            <w:r>
              <w:rPr>
                <w:rFonts w:ascii="Times New Roman" w:hAnsi="Times New Roman" w:eastAsia="Times New Roman" w:cs="Times New Roman"/>
                <w:color w:val="000000"/>
                <w:sz w:val="24"/>
                <w:szCs w:val="24"/>
                <w:lang w:val="en-US"/>
              </w:rPr>
              <w:t>53.25</w:t>
            </w:r>
          </w:p>
        </w:tc>
      </w:tr>
      <w:tr w14:paraId="4BF3E691">
        <w:tblPrEx>
          <w:tblLayout w:type="fixed"/>
        </w:tblPrEx>
        <w:trPr>
          <w:trHeight w:val="300" w:hRule="atLeast"/>
        </w:trPr>
        <w:tc>
          <w:tcPr>
            <w:tcW w:w="1275" w:type="dxa"/>
            <w:tcBorders>
              <w:top w:val="single" w:color="auto" w:sz="4" w:space="0"/>
              <w:left w:val="single" w:color="auto" w:sz="4" w:space="0"/>
              <w:bottom w:val="single" w:color="auto" w:sz="4" w:space="0"/>
              <w:right w:val="single" w:color="auto" w:sz="4" w:space="0"/>
            </w:tcBorders>
          </w:tcPr>
          <w:p w14:paraId="65B01740">
            <w:pPr>
              <w:spacing w:after="0" w:line="480" w:lineRule="auto"/>
              <w:jc w:val="both"/>
              <w:rPr>
                <w:rFonts w:ascii="Times New Roman" w:hAnsi="Times New Roman" w:eastAsia="Times New Roman" w:cs="Times New Roman"/>
                <w:color w:val="000000"/>
                <w:sz w:val="24"/>
                <w:szCs w:val="24"/>
                <w:lang w:val="en-US"/>
              </w:rPr>
            </w:pPr>
            <w:r>
              <w:rPr>
                <w:rFonts w:ascii="Times New Roman" w:hAnsi="Times New Roman" w:eastAsia="Times New Roman" w:cs="Times New Roman"/>
                <w:color w:val="000000"/>
                <w:sz w:val="24"/>
                <w:szCs w:val="24"/>
                <w:lang w:val="en-US"/>
              </w:rPr>
              <w:t>Total</w:t>
            </w:r>
          </w:p>
        </w:tc>
        <w:tc>
          <w:tcPr>
            <w:tcW w:w="1276" w:type="dxa"/>
            <w:tcBorders>
              <w:top w:val="single" w:color="auto" w:sz="4" w:space="0"/>
              <w:left w:val="single" w:color="auto" w:sz="4" w:space="0"/>
              <w:bottom w:val="single" w:color="auto" w:sz="4" w:space="0"/>
              <w:right w:val="single" w:color="auto" w:sz="4" w:space="0"/>
            </w:tcBorders>
          </w:tcPr>
          <w:p w14:paraId="0248AFBE">
            <w:pPr>
              <w:spacing w:after="0" w:line="480" w:lineRule="auto"/>
              <w:jc w:val="both"/>
              <w:rPr>
                <w:rFonts w:ascii="Times New Roman" w:hAnsi="Times New Roman" w:eastAsia="Times New Roman" w:cs="Times New Roman"/>
                <w:color w:val="000000"/>
                <w:sz w:val="24"/>
                <w:szCs w:val="24"/>
                <w:lang w:val="en-US"/>
              </w:rPr>
            </w:pPr>
            <w:r>
              <w:rPr>
                <w:rFonts w:ascii="Times New Roman" w:hAnsi="Times New Roman" w:eastAsia="Times New Roman" w:cs="Times New Roman"/>
                <w:color w:val="000000"/>
                <w:sz w:val="24"/>
                <w:szCs w:val="24"/>
                <w:lang w:val="en-US"/>
              </w:rPr>
              <w:t>400</w:t>
            </w:r>
          </w:p>
        </w:tc>
        <w:tc>
          <w:tcPr>
            <w:tcW w:w="851" w:type="dxa"/>
            <w:tcBorders>
              <w:top w:val="single" w:color="auto" w:sz="4" w:space="0"/>
              <w:left w:val="single" w:color="auto" w:sz="4" w:space="0"/>
              <w:bottom w:val="single" w:color="auto" w:sz="4" w:space="0"/>
              <w:right w:val="single" w:color="auto" w:sz="4" w:space="0"/>
            </w:tcBorders>
          </w:tcPr>
          <w:p w14:paraId="77D14528">
            <w:pPr>
              <w:spacing w:after="0" w:line="480" w:lineRule="auto"/>
              <w:jc w:val="both"/>
              <w:rPr>
                <w:rFonts w:ascii="Times New Roman" w:hAnsi="Times New Roman" w:eastAsia="Times New Roman" w:cs="Times New Roman"/>
                <w:color w:val="000000"/>
                <w:sz w:val="24"/>
                <w:szCs w:val="24"/>
                <w:lang w:val="en-US"/>
              </w:rPr>
            </w:pPr>
            <w:r>
              <w:rPr>
                <w:rFonts w:ascii="Times New Roman" w:hAnsi="Times New Roman" w:eastAsia="Times New Roman" w:cs="Times New Roman"/>
                <w:color w:val="000000"/>
                <w:sz w:val="24"/>
                <w:szCs w:val="24"/>
                <w:lang w:val="en-US"/>
              </w:rPr>
              <w:t>100</w:t>
            </w:r>
          </w:p>
        </w:tc>
      </w:tr>
    </w:tbl>
    <w:p w14:paraId="70C6251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Source: Researcher’s fieldwork, 2020</w:t>
      </w:r>
    </w:p>
    <w:p w14:paraId="1D4CA462">
      <w:pPr>
        <w:spacing w:line="480" w:lineRule="auto"/>
        <w:jc w:val="both"/>
        <w:rPr>
          <w:rFonts w:ascii="Times New Roman" w:hAnsi="Times New Roman" w:cs="Times New Roman"/>
          <w:b/>
          <w:color w:val="161F19"/>
          <w:sz w:val="24"/>
          <w:szCs w:val="24"/>
          <w:shd w:val="clear" w:color="auto" w:fill="FFFFFF"/>
        </w:rPr>
      </w:pPr>
      <w:r>
        <w:rPr>
          <w:rFonts w:ascii="Times New Roman" w:hAnsi="Times New Roman" w:cs="Times New Roman"/>
          <w:b/>
          <w:color w:val="161F19"/>
          <w:sz w:val="24"/>
          <w:szCs w:val="24"/>
          <w:shd w:val="clear" w:color="auto" w:fill="FFFFFF"/>
        </w:rPr>
        <w:t xml:space="preserve">4.2 </w:t>
      </w:r>
      <w:r>
        <w:rPr>
          <w:rFonts w:ascii="Times New Roman" w:hAnsi="Times New Roman" w:cs="Times New Roman"/>
          <w:b/>
          <w:color w:val="161F19"/>
          <w:sz w:val="24"/>
          <w:szCs w:val="24"/>
          <w:shd w:val="clear" w:color="auto" w:fill="FFFFFF"/>
        </w:rPr>
        <w:t xml:space="preserve">Waste Disposal Methods </w:t>
      </w:r>
    </w:p>
    <w:p w14:paraId="47437010">
      <w:pPr>
        <w:spacing w:after="0" w:line="480" w:lineRule="auto"/>
        <w:jc w:val="both"/>
        <w:rPr>
          <w:rFonts w:ascii="Times New Roman" w:hAnsi="Times New Roman" w:cs="Times New Roman"/>
          <w:color w:val="161F19"/>
          <w:sz w:val="24"/>
          <w:szCs w:val="24"/>
          <w:shd w:val="clear" w:color="auto" w:fill="FFFFFF"/>
        </w:rPr>
      </w:pPr>
      <w:r>
        <w:rPr>
          <w:rFonts w:ascii="Times New Roman" w:hAnsi="Times New Roman" w:cs="Times New Roman"/>
          <w:color w:val="161F19"/>
          <w:sz w:val="24"/>
          <w:szCs w:val="24"/>
          <w:shd w:val="clear" w:color="auto" w:fill="FFFFFF"/>
        </w:rPr>
        <w:t xml:space="preserve">The study revealed that gutter dumping and roadside waste disposal were some popular methods of waste disposal. Very few respondents disposed of waste at designated dumpsites. Most respondents indicated that waste was picked on a daily basis, with a majority of residents expressing that the existing waste disposal and management system were not satisfactory. </w:t>
      </w:r>
    </w:p>
    <w:p w14:paraId="1D85229B">
      <w:pPr>
        <w:spacing w:after="0" w:line="480" w:lineRule="auto"/>
        <w:jc w:val="both"/>
        <w:rPr>
          <w:rFonts w:ascii="Times New Roman" w:hAnsi="Times New Roman" w:cs="Times New Roman"/>
          <w:sz w:val="24"/>
          <w:szCs w:val="24"/>
        </w:rPr>
      </w:pPr>
      <w:r>
        <w:rPr>
          <w:rFonts w:ascii="Times New Roman" w:hAnsi="Times New Roman" w:cs="Times New Roman"/>
          <w:b/>
          <w:bCs/>
          <w:sz w:val="24"/>
          <w:szCs w:val="24"/>
        </w:rPr>
        <w:t>Table 4.2 where do you dump your waste?</w:t>
      </w:r>
    </w:p>
    <w:tbl>
      <w:tblPr>
        <w:tblStyle w:val="11"/>
        <w:tblW w:w="0" w:type="auto"/>
        <w:tblInd w:w="534" w:type="dxa"/>
        <w:tblLayout w:type="fixed"/>
        <w:tblCellMar>
          <w:top w:w="0" w:type="dxa"/>
          <w:left w:w="108" w:type="dxa"/>
          <w:bottom w:w="0" w:type="dxa"/>
          <w:right w:w="108" w:type="dxa"/>
        </w:tblCellMar>
      </w:tblPr>
      <w:tblGrid>
        <w:gridCol w:w="1526"/>
        <w:gridCol w:w="1417"/>
        <w:gridCol w:w="1276"/>
      </w:tblGrid>
      <w:tr w14:paraId="58EC9087">
        <w:tblPrEx>
          <w:tblLayout w:type="fixed"/>
        </w:tblPrEx>
        <w:trPr>
          <w:trHeight w:val="352" w:hRule="atLeast"/>
        </w:trPr>
        <w:tc>
          <w:tcPr>
            <w:tcW w:w="1526" w:type="dxa"/>
            <w:tcBorders>
              <w:top w:val="single" w:color="auto" w:sz="4" w:space="0"/>
              <w:left w:val="single" w:color="auto" w:sz="4" w:space="0"/>
              <w:bottom w:val="single" w:color="auto" w:sz="4" w:space="0"/>
              <w:right w:val="single" w:color="auto" w:sz="4" w:space="0"/>
            </w:tcBorders>
          </w:tcPr>
          <w:p w14:paraId="0C8164DB">
            <w:pPr>
              <w:spacing w:after="0" w:line="480" w:lineRule="auto"/>
              <w:jc w:val="both"/>
              <w:rPr>
                <w:rFonts w:ascii="Times New Roman" w:hAnsi="Times New Roman" w:cs="Times New Roman"/>
                <w:sz w:val="24"/>
                <w:szCs w:val="24"/>
                <w:lang w:val="en-US"/>
              </w:rPr>
            </w:pPr>
          </w:p>
        </w:tc>
        <w:tc>
          <w:tcPr>
            <w:tcW w:w="1417" w:type="dxa"/>
            <w:tcBorders>
              <w:top w:val="single" w:color="auto" w:sz="4" w:space="0"/>
              <w:left w:val="single" w:color="auto" w:sz="4" w:space="0"/>
              <w:bottom w:val="single" w:color="auto" w:sz="4" w:space="0"/>
              <w:right w:val="single" w:color="auto" w:sz="4" w:space="0"/>
            </w:tcBorders>
          </w:tcPr>
          <w:p w14:paraId="1B82B83C">
            <w:pPr>
              <w:spacing w:after="0" w:line="480" w:lineRule="auto"/>
              <w:jc w:val="both"/>
              <w:rPr>
                <w:rFonts w:ascii="Times New Roman" w:hAnsi="Times New Roman" w:cs="Times New Roman"/>
                <w:sz w:val="24"/>
                <w:szCs w:val="24"/>
                <w:lang w:val="en-US"/>
              </w:rPr>
            </w:pPr>
            <w:r>
              <w:rPr>
                <w:rFonts w:ascii="Times New Roman" w:hAnsi="Times New Roman" w:eastAsia="Times New Roman" w:cs="Times New Roman"/>
                <w:bCs/>
                <w:color w:val="000000"/>
                <w:sz w:val="24"/>
                <w:szCs w:val="24"/>
              </w:rPr>
              <w:t>Frequency</w:t>
            </w:r>
          </w:p>
        </w:tc>
        <w:tc>
          <w:tcPr>
            <w:tcW w:w="1276" w:type="dxa"/>
            <w:tcBorders>
              <w:top w:val="single" w:color="auto" w:sz="4" w:space="0"/>
              <w:left w:val="single" w:color="auto" w:sz="4" w:space="0"/>
              <w:bottom w:val="single" w:color="auto" w:sz="4" w:space="0"/>
              <w:right w:val="single" w:color="auto" w:sz="4" w:space="0"/>
            </w:tcBorders>
          </w:tcPr>
          <w:p w14:paraId="1870F80F">
            <w:pPr>
              <w:spacing w:after="0" w:line="480" w:lineRule="auto"/>
              <w:jc w:val="both"/>
              <w:rPr>
                <w:rFonts w:ascii="Times New Roman" w:hAnsi="Times New Roman" w:cs="Times New Roman"/>
                <w:sz w:val="24"/>
                <w:szCs w:val="24"/>
                <w:lang w:val="en-US"/>
              </w:rPr>
            </w:pPr>
            <w:r>
              <w:rPr>
                <w:rFonts w:ascii="Times New Roman" w:hAnsi="Times New Roman" w:eastAsia="Times New Roman" w:cs="Times New Roman"/>
                <w:bCs/>
                <w:color w:val="000000"/>
                <w:sz w:val="24"/>
                <w:szCs w:val="24"/>
              </w:rPr>
              <w:t>%</w:t>
            </w:r>
          </w:p>
        </w:tc>
      </w:tr>
      <w:tr w14:paraId="3C7AA4E6">
        <w:tblPrEx>
          <w:tblLayout w:type="fixed"/>
        </w:tblPrEx>
        <w:trPr>
          <w:trHeight w:val="352" w:hRule="atLeast"/>
        </w:trPr>
        <w:tc>
          <w:tcPr>
            <w:tcW w:w="1526" w:type="dxa"/>
            <w:tcBorders>
              <w:top w:val="single" w:color="auto" w:sz="4" w:space="0"/>
              <w:left w:val="single" w:color="auto" w:sz="4" w:space="0"/>
              <w:bottom w:val="single" w:color="auto" w:sz="4" w:space="0"/>
              <w:right w:val="single" w:color="auto" w:sz="4" w:space="0"/>
            </w:tcBorders>
          </w:tcPr>
          <w:p w14:paraId="7979CE86">
            <w:pPr>
              <w:spacing w:after="160" w:line="480" w:lineRule="auto"/>
              <w:jc w:val="both"/>
              <w:rPr>
                <w:rFonts w:ascii="Times New Roman" w:hAnsi="Times New Roman" w:cs="Times New Roman"/>
                <w:sz w:val="24"/>
                <w:szCs w:val="24"/>
                <w:lang w:val="en-US"/>
              </w:rPr>
            </w:pPr>
            <w:r>
              <w:rPr>
                <w:rFonts w:ascii="Times New Roman" w:hAnsi="Times New Roman" w:cs="Times New Roman"/>
                <w:sz w:val="24"/>
                <w:szCs w:val="24"/>
              </w:rPr>
              <w:t>Roadside</w:t>
            </w:r>
          </w:p>
        </w:tc>
        <w:tc>
          <w:tcPr>
            <w:tcW w:w="1417" w:type="dxa"/>
            <w:tcBorders>
              <w:top w:val="single" w:color="auto" w:sz="4" w:space="0"/>
              <w:left w:val="single" w:color="auto" w:sz="4" w:space="0"/>
              <w:bottom w:val="single" w:color="auto" w:sz="4" w:space="0"/>
              <w:right w:val="single" w:color="auto" w:sz="4" w:space="0"/>
            </w:tcBorders>
          </w:tcPr>
          <w:p w14:paraId="3C1D2C98">
            <w:pPr>
              <w:spacing w:after="160" w:line="480" w:lineRule="auto"/>
              <w:jc w:val="both"/>
              <w:rPr>
                <w:rFonts w:ascii="Times New Roman" w:hAnsi="Times New Roman" w:cs="Times New Roman"/>
                <w:sz w:val="24"/>
                <w:szCs w:val="24"/>
                <w:lang w:val="en-US"/>
              </w:rPr>
            </w:pPr>
            <w:r>
              <w:rPr>
                <w:rFonts w:ascii="Times New Roman" w:hAnsi="Times New Roman" w:eastAsia="Times New Roman" w:cs="Times New Roman"/>
                <w:bCs/>
                <w:color w:val="000000"/>
                <w:sz w:val="24"/>
                <w:szCs w:val="24"/>
              </w:rPr>
              <w:t>123</w:t>
            </w:r>
          </w:p>
        </w:tc>
        <w:tc>
          <w:tcPr>
            <w:tcW w:w="1276" w:type="dxa"/>
            <w:tcBorders>
              <w:top w:val="single" w:color="auto" w:sz="4" w:space="0"/>
              <w:left w:val="single" w:color="auto" w:sz="4" w:space="0"/>
              <w:bottom w:val="single" w:color="auto" w:sz="4" w:space="0"/>
              <w:right w:val="single" w:color="auto" w:sz="4" w:space="0"/>
            </w:tcBorders>
          </w:tcPr>
          <w:p w14:paraId="4568E7BD">
            <w:pPr>
              <w:spacing w:after="160" w:line="480" w:lineRule="auto"/>
              <w:jc w:val="both"/>
              <w:rPr>
                <w:rFonts w:ascii="Times New Roman" w:hAnsi="Times New Roman" w:cs="Times New Roman"/>
                <w:sz w:val="24"/>
                <w:szCs w:val="24"/>
                <w:lang w:val="en-US"/>
              </w:rPr>
            </w:pPr>
            <w:r>
              <w:rPr>
                <w:rFonts w:ascii="Times New Roman" w:hAnsi="Times New Roman" w:eastAsia="Times New Roman" w:cs="Times New Roman"/>
                <w:bCs/>
                <w:color w:val="000000"/>
                <w:sz w:val="24"/>
                <w:szCs w:val="24"/>
              </w:rPr>
              <w:t xml:space="preserve"> 30.75</w:t>
            </w:r>
          </w:p>
        </w:tc>
      </w:tr>
      <w:tr w14:paraId="44A09623">
        <w:tblPrEx>
          <w:tblLayout w:type="fixed"/>
        </w:tblPrEx>
        <w:trPr>
          <w:trHeight w:val="352" w:hRule="atLeast"/>
        </w:trPr>
        <w:tc>
          <w:tcPr>
            <w:tcW w:w="1526" w:type="dxa"/>
            <w:tcBorders>
              <w:top w:val="single" w:color="auto" w:sz="4" w:space="0"/>
              <w:left w:val="single" w:color="auto" w:sz="4" w:space="0"/>
              <w:bottom w:val="single" w:color="auto" w:sz="4" w:space="0"/>
              <w:right w:val="single" w:color="auto" w:sz="4" w:space="0"/>
            </w:tcBorders>
          </w:tcPr>
          <w:p w14:paraId="5E65B4E1">
            <w:pPr>
              <w:spacing w:after="160" w:line="480" w:lineRule="auto"/>
              <w:jc w:val="both"/>
              <w:rPr>
                <w:rFonts w:ascii="Times New Roman" w:hAnsi="Times New Roman" w:cs="Times New Roman"/>
                <w:sz w:val="24"/>
                <w:szCs w:val="24"/>
                <w:lang w:val="en-US"/>
              </w:rPr>
            </w:pPr>
            <w:r>
              <w:rPr>
                <w:rFonts w:ascii="Times New Roman" w:hAnsi="Times New Roman" w:cs="Times New Roman"/>
                <w:sz w:val="24"/>
                <w:szCs w:val="24"/>
              </w:rPr>
              <w:t>Gutters</w:t>
            </w:r>
          </w:p>
        </w:tc>
        <w:tc>
          <w:tcPr>
            <w:tcW w:w="1417" w:type="dxa"/>
            <w:tcBorders>
              <w:top w:val="single" w:color="auto" w:sz="4" w:space="0"/>
              <w:left w:val="single" w:color="auto" w:sz="4" w:space="0"/>
              <w:bottom w:val="single" w:color="auto" w:sz="4" w:space="0"/>
              <w:right w:val="single" w:color="auto" w:sz="4" w:space="0"/>
            </w:tcBorders>
          </w:tcPr>
          <w:p w14:paraId="7F7458CE">
            <w:pPr>
              <w:spacing w:after="160" w:line="480" w:lineRule="auto"/>
              <w:jc w:val="both"/>
              <w:rPr>
                <w:rFonts w:ascii="Times New Roman" w:hAnsi="Times New Roman" w:cs="Times New Roman"/>
                <w:sz w:val="24"/>
                <w:szCs w:val="24"/>
                <w:lang w:val="en-US"/>
              </w:rPr>
            </w:pPr>
            <w:r>
              <w:rPr>
                <w:rFonts w:ascii="Times New Roman" w:hAnsi="Times New Roman" w:eastAsia="Times New Roman" w:cs="Times New Roman"/>
                <w:bCs/>
                <w:color w:val="000000"/>
                <w:sz w:val="24"/>
                <w:szCs w:val="24"/>
              </w:rPr>
              <w:t>92</w:t>
            </w:r>
          </w:p>
        </w:tc>
        <w:tc>
          <w:tcPr>
            <w:tcW w:w="1276" w:type="dxa"/>
            <w:tcBorders>
              <w:top w:val="single" w:color="auto" w:sz="4" w:space="0"/>
              <w:left w:val="single" w:color="auto" w:sz="4" w:space="0"/>
              <w:bottom w:val="single" w:color="auto" w:sz="4" w:space="0"/>
              <w:right w:val="single" w:color="auto" w:sz="4" w:space="0"/>
            </w:tcBorders>
          </w:tcPr>
          <w:p w14:paraId="4B465730">
            <w:pPr>
              <w:spacing w:after="160" w:line="480" w:lineRule="auto"/>
              <w:jc w:val="both"/>
              <w:rPr>
                <w:rFonts w:ascii="Times New Roman" w:hAnsi="Times New Roman" w:cs="Times New Roman"/>
                <w:sz w:val="24"/>
                <w:szCs w:val="24"/>
                <w:lang w:val="en-US"/>
              </w:rPr>
            </w:pPr>
            <w:r>
              <w:rPr>
                <w:rFonts w:ascii="Times New Roman" w:hAnsi="Times New Roman" w:cs="Times New Roman"/>
                <w:sz w:val="24"/>
                <w:szCs w:val="24"/>
              </w:rPr>
              <w:t>23</w:t>
            </w:r>
          </w:p>
        </w:tc>
      </w:tr>
      <w:tr w14:paraId="140DBDB2">
        <w:tblPrEx>
          <w:tblLayout w:type="fixed"/>
        </w:tblPrEx>
        <w:trPr>
          <w:trHeight w:val="352" w:hRule="atLeast"/>
        </w:trPr>
        <w:tc>
          <w:tcPr>
            <w:tcW w:w="1526" w:type="dxa"/>
            <w:tcBorders>
              <w:top w:val="single" w:color="auto" w:sz="4" w:space="0"/>
              <w:left w:val="single" w:color="auto" w:sz="4" w:space="0"/>
              <w:bottom w:val="single" w:color="auto" w:sz="4" w:space="0"/>
              <w:right w:val="single" w:color="auto" w:sz="4" w:space="0"/>
            </w:tcBorders>
          </w:tcPr>
          <w:p w14:paraId="038FA25A">
            <w:pPr>
              <w:spacing w:after="160" w:line="480" w:lineRule="auto"/>
              <w:jc w:val="both"/>
              <w:rPr>
                <w:rFonts w:ascii="Times New Roman" w:hAnsi="Times New Roman" w:cs="Times New Roman"/>
                <w:sz w:val="24"/>
                <w:szCs w:val="24"/>
                <w:lang w:val="en-US"/>
              </w:rPr>
            </w:pPr>
            <w:r>
              <w:rPr>
                <w:rFonts w:ascii="Times New Roman" w:hAnsi="Times New Roman" w:cs="Times New Roman"/>
                <w:sz w:val="24"/>
                <w:szCs w:val="24"/>
              </w:rPr>
              <w:t>Open spaces</w:t>
            </w:r>
          </w:p>
        </w:tc>
        <w:tc>
          <w:tcPr>
            <w:tcW w:w="1417" w:type="dxa"/>
            <w:tcBorders>
              <w:top w:val="single" w:color="auto" w:sz="4" w:space="0"/>
              <w:left w:val="single" w:color="auto" w:sz="4" w:space="0"/>
              <w:bottom w:val="single" w:color="auto" w:sz="4" w:space="0"/>
              <w:right w:val="single" w:color="auto" w:sz="4" w:space="0"/>
            </w:tcBorders>
          </w:tcPr>
          <w:p w14:paraId="7279E3EE">
            <w:pPr>
              <w:spacing w:after="160" w:line="480" w:lineRule="auto"/>
              <w:jc w:val="both"/>
              <w:rPr>
                <w:rFonts w:ascii="Times New Roman" w:hAnsi="Times New Roman" w:cs="Times New Roman"/>
                <w:sz w:val="24"/>
                <w:szCs w:val="24"/>
                <w:lang w:val="en-US"/>
              </w:rPr>
            </w:pPr>
            <w:r>
              <w:rPr>
                <w:rFonts w:ascii="Times New Roman" w:hAnsi="Times New Roman" w:eastAsia="Times New Roman" w:cs="Times New Roman"/>
                <w:bCs/>
                <w:color w:val="000000"/>
                <w:sz w:val="24"/>
                <w:szCs w:val="24"/>
              </w:rPr>
              <w:t>43</w:t>
            </w:r>
          </w:p>
        </w:tc>
        <w:tc>
          <w:tcPr>
            <w:tcW w:w="1276" w:type="dxa"/>
            <w:tcBorders>
              <w:top w:val="single" w:color="auto" w:sz="4" w:space="0"/>
              <w:left w:val="single" w:color="auto" w:sz="4" w:space="0"/>
              <w:bottom w:val="single" w:color="auto" w:sz="4" w:space="0"/>
              <w:right w:val="single" w:color="auto" w:sz="4" w:space="0"/>
            </w:tcBorders>
          </w:tcPr>
          <w:p w14:paraId="50EF6F24">
            <w:pPr>
              <w:spacing w:after="160" w:line="480" w:lineRule="auto"/>
              <w:jc w:val="both"/>
              <w:rPr>
                <w:rFonts w:ascii="Times New Roman" w:hAnsi="Times New Roman" w:cs="Times New Roman"/>
                <w:sz w:val="24"/>
                <w:szCs w:val="24"/>
                <w:lang w:val="en-US"/>
              </w:rPr>
            </w:pPr>
            <w:r>
              <w:rPr>
                <w:rFonts w:ascii="Times New Roman" w:hAnsi="Times New Roman" w:eastAsia="Times New Roman" w:cs="Times New Roman"/>
                <w:bCs/>
                <w:color w:val="000000"/>
                <w:sz w:val="24"/>
                <w:szCs w:val="24"/>
              </w:rPr>
              <w:t>10.75</w:t>
            </w:r>
          </w:p>
        </w:tc>
      </w:tr>
      <w:tr w14:paraId="04428847">
        <w:tblPrEx>
          <w:tblLayout w:type="fixed"/>
        </w:tblPrEx>
        <w:trPr>
          <w:trHeight w:val="352" w:hRule="atLeast"/>
        </w:trPr>
        <w:tc>
          <w:tcPr>
            <w:tcW w:w="1526" w:type="dxa"/>
            <w:tcBorders>
              <w:top w:val="single" w:color="auto" w:sz="4" w:space="0"/>
              <w:left w:val="single" w:color="auto" w:sz="4" w:space="0"/>
              <w:bottom w:val="single" w:color="auto" w:sz="4" w:space="0"/>
              <w:right w:val="single" w:color="auto" w:sz="4" w:space="0"/>
            </w:tcBorders>
          </w:tcPr>
          <w:p w14:paraId="752EACC0">
            <w:pPr>
              <w:spacing w:after="160" w:line="480" w:lineRule="auto"/>
              <w:jc w:val="both"/>
              <w:rPr>
                <w:rFonts w:ascii="Times New Roman" w:hAnsi="Times New Roman" w:cs="Times New Roman"/>
                <w:sz w:val="24"/>
                <w:szCs w:val="24"/>
                <w:lang w:val="en-US"/>
              </w:rPr>
            </w:pPr>
            <w:r>
              <w:rPr>
                <w:rFonts w:ascii="Times New Roman" w:hAnsi="Times New Roman" w:cs="Times New Roman"/>
                <w:sz w:val="24"/>
                <w:szCs w:val="24"/>
              </w:rPr>
              <w:t>Bury</w:t>
            </w:r>
          </w:p>
        </w:tc>
        <w:tc>
          <w:tcPr>
            <w:tcW w:w="1417" w:type="dxa"/>
            <w:tcBorders>
              <w:top w:val="single" w:color="auto" w:sz="4" w:space="0"/>
              <w:left w:val="single" w:color="auto" w:sz="4" w:space="0"/>
              <w:bottom w:val="single" w:color="auto" w:sz="4" w:space="0"/>
              <w:right w:val="single" w:color="auto" w:sz="4" w:space="0"/>
            </w:tcBorders>
          </w:tcPr>
          <w:p w14:paraId="0740BBE1">
            <w:pPr>
              <w:spacing w:after="160" w:line="480" w:lineRule="auto"/>
              <w:jc w:val="both"/>
              <w:rPr>
                <w:rFonts w:ascii="Times New Roman" w:hAnsi="Times New Roman" w:cs="Times New Roman"/>
                <w:sz w:val="24"/>
                <w:szCs w:val="24"/>
                <w:lang w:val="en-US"/>
              </w:rPr>
            </w:pPr>
            <w:r>
              <w:rPr>
                <w:rFonts w:ascii="Times New Roman" w:hAnsi="Times New Roman" w:eastAsia="Times New Roman" w:cs="Times New Roman"/>
                <w:bCs/>
                <w:color w:val="000000"/>
                <w:sz w:val="24"/>
                <w:szCs w:val="24"/>
              </w:rPr>
              <w:t>32</w:t>
            </w:r>
          </w:p>
        </w:tc>
        <w:tc>
          <w:tcPr>
            <w:tcW w:w="1276" w:type="dxa"/>
            <w:tcBorders>
              <w:top w:val="single" w:color="auto" w:sz="4" w:space="0"/>
              <w:left w:val="single" w:color="auto" w:sz="4" w:space="0"/>
              <w:bottom w:val="single" w:color="auto" w:sz="4" w:space="0"/>
              <w:right w:val="single" w:color="auto" w:sz="4" w:space="0"/>
            </w:tcBorders>
          </w:tcPr>
          <w:p w14:paraId="0F57CE9B">
            <w:pPr>
              <w:spacing w:after="160" w:line="480" w:lineRule="auto"/>
              <w:jc w:val="both"/>
              <w:rPr>
                <w:rFonts w:ascii="Times New Roman" w:hAnsi="Times New Roman" w:cs="Times New Roman"/>
                <w:sz w:val="24"/>
                <w:szCs w:val="24"/>
                <w:lang w:val="en-US"/>
              </w:rPr>
            </w:pPr>
            <w:r>
              <w:rPr>
                <w:rFonts w:ascii="Times New Roman" w:hAnsi="Times New Roman" w:cs="Times New Roman"/>
                <w:sz w:val="24"/>
                <w:szCs w:val="24"/>
              </w:rPr>
              <w:t>8</w:t>
            </w:r>
          </w:p>
        </w:tc>
      </w:tr>
      <w:tr w14:paraId="79CB7D1A">
        <w:tblPrEx>
          <w:tblLayout w:type="fixed"/>
        </w:tblPrEx>
        <w:trPr>
          <w:trHeight w:val="352" w:hRule="atLeast"/>
        </w:trPr>
        <w:tc>
          <w:tcPr>
            <w:tcW w:w="1526" w:type="dxa"/>
            <w:tcBorders>
              <w:top w:val="single" w:color="auto" w:sz="4" w:space="0"/>
              <w:left w:val="single" w:color="auto" w:sz="4" w:space="0"/>
              <w:bottom w:val="single" w:color="auto" w:sz="4" w:space="0"/>
              <w:right w:val="single" w:color="auto" w:sz="4" w:space="0"/>
            </w:tcBorders>
          </w:tcPr>
          <w:p w14:paraId="690658A0">
            <w:pPr>
              <w:spacing w:after="160" w:line="480" w:lineRule="auto"/>
              <w:jc w:val="both"/>
              <w:rPr>
                <w:rFonts w:ascii="Times New Roman" w:hAnsi="Times New Roman" w:cs="Times New Roman"/>
                <w:sz w:val="24"/>
                <w:szCs w:val="24"/>
                <w:lang w:val="en-US"/>
              </w:rPr>
            </w:pPr>
            <w:r>
              <w:rPr>
                <w:rFonts w:ascii="Times New Roman" w:hAnsi="Times New Roman" w:cs="Times New Roman"/>
                <w:sz w:val="24"/>
                <w:szCs w:val="24"/>
              </w:rPr>
              <w:t>Burn</w:t>
            </w:r>
          </w:p>
        </w:tc>
        <w:tc>
          <w:tcPr>
            <w:tcW w:w="1417" w:type="dxa"/>
            <w:tcBorders>
              <w:top w:val="single" w:color="auto" w:sz="4" w:space="0"/>
              <w:left w:val="single" w:color="auto" w:sz="4" w:space="0"/>
              <w:bottom w:val="single" w:color="auto" w:sz="4" w:space="0"/>
              <w:right w:val="single" w:color="auto" w:sz="4" w:space="0"/>
            </w:tcBorders>
          </w:tcPr>
          <w:p w14:paraId="5961F1E9">
            <w:pPr>
              <w:spacing w:after="160" w:line="480" w:lineRule="auto"/>
              <w:jc w:val="both"/>
              <w:rPr>
                <w:rFonts w:ascii="Times New Roman" w:hAnsi="Times New Roman" w:cs="Times New Roman"/>
                <w:sz w:val="24"/>
                <w:szCs w:val="24"/>
                <w:lang w:val="en-US"/>
              </w:rPr>
            </w:pPr>
            <w:r>
              <w:rPr>
                <w:rFonts w:ascii="Times New Roman" w:hAnsi="Times New Roman" w:cs="Times New Roman"/>
                <w:sz w:val="24"/>
                <w:szCs w:val="24"/>
              </w:rPr>
              <w:t>40</w:t>
            </w:r>
          </w:p>
        </w:tc>
        <w:tc>
          <w:tcPr>
            <w:tcW w:w="1276" w:type="dxa"/>
            <w:tcBorders>
              <w:top w:val="single" w:color="auto" w:sz="4" w:space="0"/>
              <w:left w:val="single" w:color="auto" w:sz="4" w:space="0"/>
              <w:bottom w:val="single" w:color="auto" w:sz="4" w:space="0"/>
              <w:right w:val="single" w:color="auto" w:sz="4" w:space="0"/>
            </w:tcBorders>
          </w:tcPr>
          <w:p w14:paraId="46BEDEB6">
            <w:pPr>
              <w:spacing w:after="160" w:line="480" w:lineRule="auto"/>
              <w:jc w:val="both"/>
              <w:rPr>
                <w:rFonts w:ascii="Times New Roman" w:hAnsi="Times New Roman" w:cs="Times New Roman"/>
                <w:sz w:val="24"/>
                <w:szCs w:val="24"/>
                <w:lang w:val="en-US"/>
              </w:rPr>
            </w:pPr>
            <w:r>
              <w:rPr>
                <w:rFonts w:ascii="Times New Roman" w:hAnsi="Times New Roman" w:eastAsia="Times New Roman" w:cs="Times New Roman"/>
                <w:bCs/>
                <w:color w:val="000000"/>
                <w:sz w:val="24"/>
                <w:szCs w:val="24"/>
              </w:rPr>
              <w:t>10</w:t>
            </w:r>
          </w:p>
        </w:tc>
      </w:tr>
      <w:tr w14:paraId="5874C044">
        <w:tblPrEx>
          <w:tblLayout w:type="fixed"/>
        </w:tblPrEx>
        <w:trPr>
          <w:trHeight w:val="352" w:hRule="atLeast"/>
        </w:trPr>
        <w:tc>
          <w:tcPr>
            <w:tcW w:w="1526" w:type="dxa"/>
            <w:tcBorders>
              <w:top w:val="single" w:color="auto" w:sz="4" w:space="0"/>
              <w:left w:val="single" w:color="auto" w:sz="4" w:space="0"/>
              <w:bottom w:val="single" w:color="auto" w:sz="4" w:space="0"/>
              <w:right w:val="single" w:color="auto" w:sz="4" w:space="0"/>
            </w:tcBorders>
          </w:tcPr>
          <w:p w14:paraId="0BA4A674">
            <w:pPr>
              <w:spacing w:after="160" w:line="480" w:lineRule="auto"/>
              <w:jc w:val="both"/>
              <w:rPr>
                <w:rFonts w:ascii="Times New Roman" w:hAnsi="Times New Roman" w:eastAsia="Times New Roman" w:cs="Times New Roman"/>
                <w:bCs/>
                <w:color w:val="000000"/>
                <w:sz w:val="24"/>
                <w:szCs w:val="24"/>
                <w:lang w:val="en-US"/>
              </w:rPr>
            </w:pPr>
            <w:r>
              <w:rPr>
                <w:rFonts w:ascii="Times New Roman" w:hAnsi="Times New Roman" w:eastAsia="Times New Roman" w:cs="Times New Roman"/>
                <w:bCs/>
                <w:color w:val="000000"/>
                <w:sz w:val="24"/>
                <w:szCs w:val="24"/>
              </w:rPr>
              <w:t>Dumpsite</w:t>
            </w:r>
          </w:p>
        </w:tc>
        <w:tc>
          <w:tcPr>
            <w:tcW w:w="1417" w:type="dxa"/>
            <w:tcBorders>
              <w:top w:val="single" w:color="auto" w:sz="4" w:space="0"/>
              <w:left w:val="single" w:color="auto" w:sz="4" w:space="0"/>
              <w:bottom w:val="single" w:color="auto" w:sz="4" w:space="0"/>
              <w:right w:val="single" w:color="auto" w:sz="4" w:space="0"/>
            </w:tcBorders>
          </w:tcPr>
          <w:p w14:paraId="5EBC6FB2">
            <w:pPr>
              <w:spacing w:after="160" w:line="480" w:lineRule="auto"/>
              <w:jc w:val="both"/>
              <w:rPr>
                <w:rFonts w:ascii="Times New Roman" w:hAnsi="Times New Roman" w:eastAsia="Times New Roman" w:cs="Times New Roman"/>
                <w:bCs/>
                <w:color w:val="000000"/>
                <w:sz w:val="24"/>
                <w:szCs w:val="24"/>
                <w:lang w:val="en-US"/>
              </w:rPr>
            </w:pPr>
            <w:r>
              <w:rPr>
                <w:rFonts w:ascii="Times New Roman" w:hAnsi="Times New Roman" w:eastAsia="Times New Roman" w:cs="Times New Roman"/>
                <w:bCs/>
                <w:color w:val="000000"/>
                <w:sz w:val="24"/>
                <w:szCs w:val="24"/>
              </w:rPr>
              <w:t>70</w:t>
            </w:r>
          </w:p>
        </w:tc>
        <w:tc>
          <w:tcPr>
            <w:tcW w:w="1276" w:type="dxa"/>
            <w:tcBorders>
              <w:top w:val="single" w:color="auto" w:sz="4" w:space="0"/>
              <w:left w:val="single" w:color="auto" w:sz="4" w:space="0"/>
              <w:bottom w:val="single" w:color="auto" w:sz="4" w:space="0"/>
              <w:right w:val="single" w:color="auto" w:sz="4" w:space="0"/>
            </w:tcBorders>
          </w:tcPr>
          <w:p w14:paraId="46935159">
            <w:pPr>
              <w:spacing w:after="160" w:line="480" w:lineRule="auto"/>
              <w:jc w:val="both"/>
              <w:rPr>
                <w:rFonts w:ascii="Times New Roman" w:hAnsi="Times New Roman" w:eastAsia="Times New Roman" w:cs="Times New Roman"/>
                <w:bCs/>
                <w:color w:val="000000"/>
                <w:sz w:val="24"/>
                <w:szCs w:val="24"/>
                <w:lang w:val="en-US"/>
              </w:rPr>
            </w:pPr>
            <w:r>
              <w:rPr>
                <w:rFonts w:ascii="Times New Roman" w:hAnsi="Times New Roman" w:eastAsia="Times New Roman" w:cs="Times New Roman"/>
                <w:bCs/>
                <w:color w:val="000000"/>
                <w:sz w:val="24"/>
                <w:szCs w:val="24"/>
              </w:rPr>
              <w:t>17.5</w:t>
            </w:r>
          </w:p>
        </w:tc>
      </w:tr>
      <w:tr w14:paraId="0E28857C">
        <w:tblPrEx>
          <w:tblLayout w:type="fixed"/>
        </w:tblPrEx>
        <w:trPr>
          <w:trHeight w:val="352" w:hRule="atLeast"/>
        </w:trPr>
        <w:tc>
          <w:tcPr>
            <w:tcW w:w="1526" w:type="dxa"/>
            <w:tcBorders>
              <w:top w:val="single" w:color="auto" w:sz="4" w:space="0"/>
              <w:left w:val="single" w:color="auto" w:sz="4" w:space="0"/>
              <w:bottom w:val="single" w:color="auto" w:sz="4" w:space="0"/>
              <w:right w:val="single" w:color="auto" w:sz="4" w:space="0"/>
            </w:tcBorders>
          </w:tcPr>
          <w:p w14:paraId="43F299E8">
            <w:pPr>
              <w:spacing w:after="160" w:line="480" w:lineRule="auto"/>
              <w:jc w:val="both"/>
              <w:rPr>
                <w:rFonts w:ascii="Times New Roman" w:hAnsi="Times New Roman" w:eastAsia="Times New Roman" w:cs="Times New Roman"/>
                <w:bCs/>
                <w:color w:val="000000"/>
                <w:sz w:val="24"/>
                <w:szCs w:val="24"/>
                <w:lang w:val="en-US"/>
              </w:rPr>
            </w:pPr>
            <w:r>
              <w:rPr>
                <w:rFonts w:ascii="Times New Roman" w:hAnsi="Times New Roman" w:eastAsia="Times New Roman" w:cs="Times New Roman"/>
                <w:bCs/>
                <w:color w:val="000000"/>
                <w:sz w:val="24"/>
                <w:szCs w:val="24"/>
              </w:rPr>
              <w:t>Total</w:t>
            </w:r>
          </w:p>
        </w:tc>
        <w:tc>
          <w:tcPr>
            <w:tcW w:w="1417" w:type="dxa"/>
            <w:tcBorders>
              <w:top w:val="single" w:color="auto" w:sz="4" w:space="0"/>
              <w:left w:val="single" w:color="auto" w:sz="4" w:space="0"/>
              <w:bottom w:val="single" w:color="auto" w:sz="4" w:space="0"/>
              <w:right w:val="single" w:color="auto" w:sz="4" w:space="0"/>
            </w:tcBorders>
          </w:tcPr>
          <w:p w14:paraId="2CED08FD">
            <w:pPr>
              <w:spacing w:after="160" w:line="480" w:lineRule="auto"/>
              <w:jc w:val="both"/>
              <w:rPr>
                <w:rFonts w:ascii="Times New Roman" w:hAnsi="Times New Roman" w:eastAsia="Times New Roman" w:cs="Times New Roman"/>
                <w:bCs/>
                <w:color w:val="000000"/>
                <w:sz w:val="24"/>
                <w:szCs w:val="24"/>
                <w:lang w:val="en-US"/>
              </w:rPr>
            </w:pPr>
            <w:r>
              <w:rPr>
                <w:rFonts w:ascii="Times New Roman" w:hAnsi="Times New Roman" w:eastAsia="Times New Roman" w:cs="Times New Roman"/>
                <w:bCs/>
                <w:color w:val="000000"/>
                <w:sz w:val="24"/>
                <w:szCs w:val="24"/>
              </w:rPr>
              <w:t>400</w:t>
            </w:r>
          </w:p>
        </w:tc>
        <w:tc>
          <w:tcPr>
            <w:tcW w:w="1276" w:type="dxa"/>
            <w:tcBorders>
              <w:top w:val="single" w:color="auto" w:sz="4" w:space="0"/>
              <w:left w:val="single" w:color="auto" w:sz="4" w:space="0"/>
              <w:bottom w:val="single" w:color="auto" w:sz="4" w:space="0"/>
              <w:right w:val="single" w:color="auto" w:sz="4" w:space="0"/>
            </w:tcBorders>
          </w:tcPr>
          <w:p w14:paraId="1F52087F">
            <w:pPr>
              <w:spacing w:after="160" w:line="480" w:lineRule="auto"/>
              <w:jc w:val="both"/>
              <w:rPr>
                <w:rFonts w:ascii="Times New Roman" w:hAnsi="Times New Roman" w:eastAsia="Times New Roman" w:cs="Times New Roman"/>
                <w:bCs/>
                <w:color w:val="000000"/>
                <w:sz w:val="24"/>
                <w:szCs w:val="24"/>
                <w:lang w:val="en-US"/>
              </w:rPr>
            </w:pPr>
            <w:r>
              <w:rPr>
                <w:rFonts w:ascii="Times New Roman" w:hAnsi="Times New Roman" w:eastAsia="Times New Roman" w:cs="Times New Roman"/>
                <w:bCs/>
                <w:color w:val="000000"/>
                <w:sz w:val="24"/>
                <w:szCs w:val="24"/>
              </w:rPr>
              <w:t>100</w:t>
            </w:r>
          </w:p>
        </w:tc>
      </w:tr>
    </w:tbl>
    <w:p w14:paraId="6F44D9AA">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Source: Researcher’s fieldwork, 2020</w:t>
      </w:r>
    </w:p>
    <w:p w14:paraId="47BC244E">
      <w:pPr>
        <w:spacing w:line="480" w:lineRule="auto"/>
        <w:jc w:val="both"/>
        <w:rPr>
          <w:rFonts w:ascii="Times New Roman" w:hAnsi="Times New Roman" w:cs="Times New Roman"/>
          <w:b/>
          <w:color w:val="161F19"/>
          <w:sz w:val="24"/>
          <w:szCs w:val="24"/>
          <w:shd w:val="clear" w:color="auto" w:fill="FFFFFF"/>
        </w:rPr>
      </w:pPr>
      <w:r>
        <w:rPr>
          <w:rFonts w:ascii="Times New Roman" w:hAnsi="Times New Roman" w:cs="Times New Roman"/>
          <w:b/>
          <w:color w:val="161F19"/>
          <w:sz w:val="24"/>
          <w:szCs w:val="24"/>
          <w:shd w:val="clear" w:color="auto" w:fill="FFFFFF"/>
        </w:rPr>
        <w:t xml:space="preserve">4.3 </w:t>
      </w:r>
      <w:r>
        <w:rPr>
          <w:rFonts w:ascii="Times New Roman" w:hAnsi="Times New Roman" w:cs="Times New Roman"/>
          <w:b/>
          <w:color w:val="161F19"/>
          <w:sz w:val="24"/>
          <w:szCs w:val="24"/>
          <w:shd w:val="clear" w:color="auto" w:fill="FFFFFF"/>
        </w:rPr>
        <w:t xml:space="preserve">Effects of Indiscriminate Refuse Dumping </w:t>
      </w:r>
    </w:p>
    <w:p w14:paraId="515C35A2">
      <w:pPr>
        <w:spacing w:line="480" w:lineRule="auto"/>
        <w:jc w:val="both"/>
        <w:rPr>
          <w:rFonts w:ascii="Times New Roman" w:hAnsi="Times New Roman" w:cs="Times New Roman"/>
          <w:b/>
          <w:color w:val="161F19"/>
          <w:sz w:val="24"/>
          <w:szCs w:val="24"/>
          <w:shd w:val="clear" w:color="auto" w:fill="FFFFFF"/>
        </w:rPr>
      </w:pPr>
      <w:r>
        <w:rPr>
          <w:rFonts w:ascii="Times New Roman" w:hAnsi="Times New Roman" w:cs="Times New Roman"/>
          <w:color w:val="161F19"/>
          <w:sz w:val="24"/>
          <w:szCs w:val="24"/>
          <w:shd w:val="clear" w:color="auto" w:fill="FFFFFF"/>
        </w:rPr>
        <w:t xml:space="preserve">This study revealed that poor indiscriminate refuse dumping was a main contributor to environmental pollution, drainage blockage, and increased flooding. Poor waste disposal was also indicated to have a large effect on health related problems associated with poor waste disposal practices, including diarrhoea, cholera, typhoid, coughing, and other sanitation-related diseases. The findings agree with previous studies that linked poor waste management practices with environmental degradation and public health challenges in urban communities. </w:t>
      </w:r>
    </w:p>
    <w:p w14:paraId="40430AA1">
      <w:pPr>
        <w:spacing w:line="480" w:lineRule="auto"/>
        <w:jc w:val="both"/>
        <w:rPr>
          <w:rFonts w:ascii="Times New Roman" w:hAnsi="Times New Roman" w:cs="Times New Roman"/>
          <w:b/>
          <w:color w:val="161F19"/>
          <w:sz w:val="24"/>
          <w:szCs w:val="24"/>
          <w:shd w:val="clear" w:color="auto" w:fill="FFFFFF"/>
        </w:rPr>
      </w:pPr>
      <w:r>
        <w:rPr>
          <w:rFonts w:ascii="Times New Roman" w:hAnsi="Times New Roman" w:cs="Times New Roman"/>
          <w:b/>
          <w:color w:val="161F19"/>
          <w:sz w:val="24"/>
          <w:szCs w:val="24"/>
          <w:shd w:val="clear" w:color="auto" w:fill="FFFFFF"/>
        </w:rPr>
        <w:t>4.4 Attitude of Residents t</w:t>
      </w:r>
      <w:r>
        <w:rPr>
          <w:rFonts w:ascii="Times New Roman" w:hAnsi="Times New Roman" w:cs="Times New Roman"/>
          <w:b/>
          <w:color w:val="161F19"/>
          <w:sz w:val="24"/>
          <w:szCs w:val="24"/>
          <w:shd w:val="clear" w:color="auto" w:fill="FFFFFF"/>
        </w:rPr>
        <w:t>oward</w:t>
      </w:r>
      <w:r>
        <w:rPr>
          <w:rFonts w:ascii="Times New Roman" w:hAnsi="Times New Roman" w:cs="Times New Roman"/>
          <w:b/>
          <w:color w:val="161F19"/>
          <w:sz w:val="24"/>
          <w:szCs w:val="24"/>
          <w:shd w:val="clear" w:color="auto" w:fill="FFFFFF"/>
        </w:rPr>
        <w:t>s</w:t>
      </w:r>
      <w:r>
        <w:rPr>
          <w:rFonts w:ascii="Times New Roman" w:hAnsi="Times New Roman" w:cs="Times New Roman"/>
          <w:b/>
          <w:color w:val="161F19"/>
          <w:sz w:val="24"/>
          <w:szCs w:val="24"/>
          <w:shd w:val="clear" w:color="auto" w:fill="FFFFFF"/>
        </w:rPr>
        <w:t xml:space="preserve"> Waste Management </w:t>
      </w:r>
    </w:p>
    <w:p w14:paraId="06B1AADC">
      <w:pPr>
        <w:spacing w:line="480" w:lineRule="auto"/>
        <w:jc w:val="both"/>
        <w:rPr>
          <w:rFonts w:ascii="Times New Roman" w:hAnsi="Times New Roman" w:cs="Times New Roman"/>
          <w:sz w:val="24"/>
          <w:szCs w:val="24"/>
          <w:lang w:val="en-US"/>
        </w:rPr>
      </w:pPr>
      <w:r>
        <w:rPr>
          <w:rFonts w:ascii="Times New Roman" w:hAnsi="Times New Roman" w:cs="Times New Roman"/>
          <w:color w:val="161F19"/>
          <w:sz w:val="24"/>
          <w:szCs w:val="24"/>
          <w:shd w:val="clear" w:color="auto" w:fill="FFFFFF"/>
        </w:rPr>
        <w:t>The study further revealed that residents’ attitudes contributed significantly to indiscriminate refuse dumping. Many respondents believed that waste management was solely the responsibility of government agencies, while public participation in environmental sanitation activities remained low. Government and Institutional Response Most respondents indicated that government efforts toward waste management were insufficient. Poor funding, weak enforcement of sanitation laws, and inadequate environmental awareness programmes were identified as major challenges affecting effective waste management in the study area</w:t>
      </w:r>
    </w:p>
    <w:p w14:paraId="4C33F550">
      <w:pPr>
        <w:spacing w:line="480" w:lineRule="auto"/>
        <w:jc w:val="both"/>
        <w:rPr>
          <w:rFonts w:ascii="Times New Roman" w:hAnsi="Times New Roman" w:cs="Times New Roman"/>
          <w:b/>
          <w:sz w:val="24"/>
          <w:szCs w:val="24"/>
          <w:shd w:val="clear" w:color="auto" w:fill="FFFFFF"/>
        </w:rPr>
      </w:pPr>
    </w:p>
    <w:p w14:paraId="51EA65FC">
      <w:pPr>
        <w:spacing w:line="480" w:lineRule="auto"/>
        <w:jc w:val="both"/>
        <w:rPr>
          <w:rFonts w:ascii="Times New Roman" w:hAnsi="Times New Roman" w:cs="Times New Roman"/>
          <w:b/>
          <w:sz w:val="24"/>
          <w:szCs w:val="24"/>
          <w:shd w:val="clear" w:color="auto" w:fill="FFFFFF"/>
        </w:rPr>
      </w:pPr>
    </w:p>
    <w:p w14:paraId="2BAA6CD5">
      <w:pPr>
        <w:spacing w:line="480" w:lineRule="auto"/>
        <w:jc w:val="both"/>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 xml:space="preserve">5. </w:t>
      </w:r>
      <w:r>
        <w:rPr>
          <w:rFonts w:ascii="Times New Roman" w:hAnsi="Times New Roman" w:cs="Times New Roman"/>
          <w:b/>
          <w:sz w:val="24"/>
          <w:szCs w:val="24"/>
          <w:shd w:val="clear" w:color="auto" w:fill="FFFFFF"/>
        </w:rPr>
        <w:t xml:space="preserve">Conclusion/ Recommendations </w:t>
      </w:r>
    </w:p>
    <w:p w14:paraId="37F23821">
      <w:pPr>
        <w:spacing w:line="48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T</w:t>
      </w:r>
      <w:r>
        <w:rPr>
          <w:rFonts w:ascii="Times New Roman" w:hAnsi="Times New Roman" w:cs="Times New Roman"/>
          <w:sz w:val="24"/>
          <w:szCs w:val="24"/>
          <w:shd w:val="clear" w:color="auto" w:fill="FFFFFF"/>
        </w:rPr>
        <w:t>he problem of indiscriminate</w:t>
      </w:r>
      <w:r>
        <w:rPr>
          <w:rFonts w:ascii="Times New Roman" w:hAnsi="Times New Roman" w:cs="Times New Roman"/>
          <w:sz w:val="24"/>
          <w:szCs w:val="24"/>
          <w:shd w:val="clear" w:color="auto" w:fill="FFFFFF"/>
        </w:rPr>
        <w:t xml:space="preserve"> refuse dumping in Big Qua Community</w:t>
      </w:r>
      <w:r>
        <w:rPr>
          <w:rFonts w:ascii="Times New Roman" w:hAnsi="Times New Roman" w:cs="Times New Roman"/>
          <w:sz w:val="24"/>
          <w:szCs w:val="24"/>
          <w:shd w:val="clear" w:color="auto" w:fill="FFFFFF"/>
        </w:rPr>
        <w:t xml:space="preserve"> is not simply a logistics problem involving a lack of garbage trucks. </w:t>
      </w:r>
      <w:r>
        <w:rPr>
          <w:rFonts w:ascii="Times New Roman" w:hAnsi="Times New Roman" w:cs="Times New Roman"/>
          <w:color w:val="161F19"/>
          <w:sz w:val="24"/>
          <w:szCs w:val="24"/>
          <w:shd w:val="clear" w:color="auto" w:fill="FFFFFF"/>
        </w:rPr>
        <w:t xml:space="preserve">The current status of waste management </w:t>
      </w:r>
      <w:r>
        <w:rPr>
          <w:rFonts w:ascii="Times New Roman" w:hAnsi="Times New Roman" w:cs="Times New Roman"/>
          <w:color w:val="161F19"/>
          <w:sz w:val="24"/>
          <w:szCs w:val="24"/>
          <w:shd w:val="clear" w:color="auto" w:fill="FFFFFF"/>
        </w:rPr>
        <w:t>is due to the lack of adequate partnership between the government and the public, hence leading to an inconclusive execution of efficient and sustain</w:t>
      </w:r>
      <w:r>
        <w:rPr>
          <w:rFonts w:ascii="Times New Roman" w:hAnsi="Times New Roman" w:cs="Times New Roman"/>
          <w:color w:val="161F19"/>
          <w:sz w:val="24"/>
          <w:szCs w:val="24"/>
          <w:shd w:val="clear" w:color="auto" w:fill="FFFFFF"/>
        </w:rPr>
        <w:t xml:space="preserve">able policies for safe </w:t>
      </w:r>
      <w:r>
        <w:rPr>
          <w:rFonts w:ascii="Times New Roman" w:hAnsi="Times New Roman" w:cs="Times New Roman"/>
          <w:color w:val="161F19"/>
          <w:sz w:val="24"/>
          <w:szCs w:val="24"/>
          <w:shd w:val="clear" w:color="auto" w:fill="FFFFFF"/>
        </w:rPr>
        <w:t>waste</w:t>
      </w:r>
      <w:r>
        <w:rPr>
          <w:rFonts w:ascii="Times New Roman" w:hAnsi="Times New Roman" w:cs="Times New Roman"/>
          <w:color w:val="161F19"/>
          <w:sz w:val="24"/>
          <w:szCs w:val="24"/>
          <w:shd w:val="clear" w:color="auto" w:fill="FFFFFF"/>
        </w:rPr>
        <w:t xml:space="preserve"> disposal. In order to reverse this</w:t>
      </w:r>
      <w:r>
        <w:rPr>
          <w:rFonts w:ascii="Times New Roman" w:hAnsi="Times New Roman" w:cs="Times New Roman"/>
          <w:color w:val="161F19"/>
          <w:sz w:val="24"/>
          <w:szCs w:val="24"/>
          <w:shd w:val="clear" w:color="auto" w:fill="FFFFFF"/>
        </w:rPr>
        <w:t xml:space="preserve"> </w:t>
      </w:r>
      <w:r>
        <w:rPr>
          <w:rFonts w:ascii="Times New Roman" w:hAnsi="Times New Roman" w:cs="Times New Roman"/>
          <w:color w:val="161F19"/>
          <w:sz w:val="24"/>
          <w:szCs w:val="24"/>
          <w:shd w:val="clear" w:color="auto" w:fill="FFFFFF"/>
        </w:rPr>
        <w:t>cycle that leads to</w:t>
      </w:r>
      <w:r>
        <w:rPr>
          <w:rFonts w:ascii="Times New Roman" w:hAnsi="Times New Roman" w:cs="Times New Roman"/>
          <w:color w:val="161F19"/>
          <w:sz w:val="24"/>
          <w:szCs w:val="24"/>
          <w:shd w:val="clear" w:color="auto" w:fill="FFFFFF"/>
        </w:rPr>
        <w:t xml:space="preserve"> environmental degradation and possibly close the data gap on refuse dumping a</w:t>
      </w:r>
      <w:r>
        <w:rPr>
          <w:rFonts w:ascii="Times New Roman" w:hAnsi="Times New Roman" w:cs="Times New Roman"/>
          <w:color w:val="161F19"/>
          <w:sz w:val="24"/>
          <w:szCs w:val="24"/>
          <w:shd w:val="clear" w:color="auto" w:fill="FFFFFF"/>
        </w:rPr>
        <w:t>n</w:t>
      </w:r>
      <w:r>
        <w:rPr>
          <w:rFonts w:ascii="Times New Roman" w:hAnsi="Times New Roman" w:cs="Times New Roman"/>
          <w:color w:val="161F19"/>
          <w:sz w:val="24"/>
          <w:szCs w:val="24"/>
          <w:shd w:val="clear" w:color="auto" w:fill="FFFFFF"/>
        </w:rPr>
        <w:t xml:space="preserve">d waste generation in Big Qua, </w:t>
      </w:r>
      <w:r>
        <w:rPr>
          <w:rFonts w:ascii="Times New Roman" w:hAnsi="Times New Roman" w:cs="Times New Roman"/>
          <w:color w:val="161F19"/>
          <w:sz w:val="24"/>
          <w:szCs w:val="24"/>
          <w:shd w:val="clear" w:color="auto" w:fill="FFFFFF"/>
        </w:rPr>
        <w:t>effective collaboration between government agencies and residents is necessary for sustainable waste management.</w:t>
      </w:r>
    </w:p>
    <w:p w14:paraId="015F660C">
      <w:pPr>
        <w:pStyle w:val="13"/>
        <w:numPr>
          <w:ilvl w:val="0"/>
          <w:numId w:val="5"/>
        </w:numPr>
        <w:spacing w:line="480" w:lineRule="auto"/>
        <w:jc w:val="both"/>
        <w:rPr>
          <w:rFonts w:ascii="Times New Roman" w:hAnsi="Times New Roman" w:cs="Times New Roman"/>
          <w:color w:val="161F19"/>
          <w:sz w:val="24"/>
          <w:szCs w:val="24"/>
        </w:rPr>
      </w:pPr>
      <w:r>
        <w:rPr>
          <w:rFonts w:ascii="Times New Roman" w:hAnsi="Times New Roman" w:cs="Times New Roman"/>
          <w:color w:val="161F19"/>
          <w:sz w:val="24"/>
          <w:szCs w:val="24"/>
          <w:shd w:val="clear" w:color="auto" w:fill="FFFFFF"/>
        </w:rPr>
        <w:t>The public</w:t>
      </w:r>
      <w:r>
        <w:rPr>
          <w:rFonts w:ascii="Times New Roman" w:hAnsi="Times New Roman" w:cs="Times New Roman"/>
          <w:color w:val="161F19"/>
          <w:sz w:val="24"/>
          <w:szCs w:val="24"/>
          <w:shd w:val="clear" w:color="auto" w:fill="FFFFFF"/>
        </w:rPr>
        <w:t xml:space="preserve"> should have an eco-friendly lifestyle</w:t>
      </w:r>
      <w:r>
        <w:rPr>
          <w:rFonts w:ascii="Times New Roman" w:hAnsi="Times New Roman" w:cs="Times New Roman"/>
          <w:color w:val="161F19"/>
          <w:sz w:val="24"/>
          <w:szCs w:val="24"/>
          <w:shd w:val="clear" w:color="auto" w:fill="FFFFFF"/>
        </w:rPr>
        <w:t>.</w:t>
      </w:r>
    </w:p>
    <w:p w14:paraId="79FC6080">
      <w:pPr>
        <w:pStyle w:val="13"/>
        <w:numPr>
          <w:ilvl w:val="0"/>
          <w:numId w:val="5"/>
        </w:numPr>
        <w:spacing w:line="480" w:lineRule="auto"/>
        <w:jc w:val="both"/>
        <w:rPr>
          <w:rFonts w:ascii="Times New Roman" w:hAnsi="Times New Roman" w:cs="Times New Roman"/>
          <w:color w:val="161F19"/>
          <w:sz w:val="24"/>
          <w:szCs w:val="24"/>
        </w:rPr>
      </w:pPr>
      <w:r>
        <w:rPr>
          <w:rFonts w:ascii="Times New Roman" w:hAnsi="Times New Roman" w:cs="Times New Roman"/>
          <w:color w:val="161F19"/>
          <w:sz w:val="24"/>
          <w:szCs w:val="24"/>
          <w:shd w:val="clear" w:color="auto" w:fill="FFFFFF"/>
        </w:rPr>
        <w:t xml:space="preserve">The government should allocate more funds and equipment for workers to execute their duties properly. </w:t>
      </w:r>
    </w:p>
    <w:p w14:paraId="1C47B956">
      <w:pPr>
        <w:pStyle w:val="13"/>
        <w:numPr>
          <w:ilvl w:val="0"/>
          <w:numId w:val="5"/>
        </w:numPr>
        <w:spacing w:line="480" w:lineRule="auto"/>
        <w:jc w:val="both"/>
        <w:rPr>
          <w:rFonts w:ascii="Times New Roman" w:hAnsi="Times New Roman" w:cs="Times New Roman"/>
          <w:color w:val="161F19"/>
          <w:sz w:val="24"/>
          <w:szCs w:val="24"/>
        </w:rPr>
      </w:pPr>
      <w:r>
        <w:rPr>
          <w:rFonts w:ascii="Times New Roman" w:hAnsi="Times New Roman" w:cs="Times New Roman"/>
          <w:color w:val="161F19"/>
          <w:sz w:val="24"/>
          <w:szCs w:val="24"/>
          <w:shd w:val="clear" w:color="auto" w:fill="FFFFFF"/>
        </w:rPr>
        <w:t>Each household should own a refuse bin for waste disposal.</w:t>
      </w:r>
    </w:p>
    <w:p w14:paraId="10096B8A">
      <w:pPr>
        <w:pStyle w:val="13"/>
        <w:numPr>
          <w:ilvl w:val="0"/>
          <w:numId w:val="5"/>
        </w:numPr>
        <w:spacing w:line="480" w:lineRule="auto"/>
        <w:jc w:val="both"/>
        <w:rPr>
          <w:rFonts w:ascii="Times New Roman" w:hAnsi="Times New Roman" w:cs="Times New Roman"/>
          <w:color w:val="161F19"/>
          <w:sz w:val="24"/>
          <w:szCs w:val="24"/>
        </w:rPr>
      </w:pPr>
      <w:r>
        <w:rPr>
          <w:rFonts w:ascii="Times New Roman" w:hAnsi="Times New Roman" w:cs="Times New Roman"/>
          <w:color w:val="161F19"/>
          <w:sz w:val="24"/>
          <w:szCs w:val="24"/>
          <w:shd w:val="clear" w:color="auto" w:fill="FFFFFF"/>
        </w:rPr>
        <w:t>Nobody</w:t>
      </w:r>
      <w:r>
        <w:rPr>
          <w:rFonts w:ascii="Times New Roman" w:hAnsi="Times New Roman" w:cs="Times New Roman"/>
          <w:color w:val="161F19"/>
          <w:sz w:val="24"/>
          <w:szCs w:val="24"/>
          <w:shd w:val="clear" w:color="auto" w:fill="FFFFFF"/>
        </w:rPr>
        <w:t xml:space="preserve"> is to discard, throw or drop refuse anywhere except in designated litter bin</w:t>
      </w:r>
    </w:p>
    <w:p w14:paraId="55D13F59">
      <w:pPr>
        <w:pStyle w:val="13"/>
        <w:numPr>
          <w:ilvl w:val="0"/>
          <w:numId w:val="5"/>
        </w:numPr>
        <w:spacing w:line="480" w:lineRule="auto"/>
        <w:jc w:val="both"/>
        <w:rPr>
          <w:rFonts w:ascii="Times New Roman" w:hAnsi="Times New Roman" w:cs="Times New Roman"/>
          <w:color w:val="161F19"/>
          <w:sz w:val="24"/>
          <w:szCs w:val="24"/>
          <w:shd w:val="clear" w:color="auto" w:fill="FFFFFF"/>
        </w:rPr>
      </w:pPr>
      <w:r>
        <w:rPr>
          <w:rFonts w:ascii="Times New Roman" w:hAnsi="Times New Roman" w:cs="Times New Roman"/>
          <w:color w:val="161F19"/>
          <w:sz w:val="24"/>
          <w:szCs w:val="24"/>
          <w:shd w:val="clear" w:color="auto" w:fill="FFFFFF"/>
        </w:rPr>
        <w:t>Lastly, the findings of the study should be adopted efficiently in carrying out new waste management policies.</w:t>
      </w:r>
    </w:p>
    <w:p w14:paraId="4C9187EF">
      <w:pPr>
        <w:tabs>
          <w:tab w:val="left" w:pos="7040"/>
        </w:tabs>
        <w:spacing w:line="480" w:lineRule="auto"/>
        <w:jc w:val="both"/>
        <w:rPr>
          <w:rFonts w:ascii="Times New Roman" w:hAnsi="Times New Roman" w:cs="Times New Roman"/>
          <w:b/>
          <w:sz w:val="24"/>
          <w:szCs w:val="24"/>
        </w:rPr>
      </w:pPr>
    </w:p>
    <w:p w14:paraId="6EAB57C6">
      <w:pPr>
        <w:tabs>
          <w:tab w:val="left" w:pos="7040"/>
        </w:tabs>
        <w:spacing w:line="480" w:lineRule="auto"/>
        <w:jc w:val="both"/>
        <w:rPr>
          <w:rFonts w:ascii="Times New Roman" w:hAnsi="Times New Roman" w:cs="Times New Roman"/>
          <w:b/>
          <w:sz w:val="24"/>
          <w:szCs w:val="24"/>
        </w:rPr>
      </w:pPr>
    </w:p>
    <w:p w14:paraId="21529233">
      <w:pPr>
        <w:tabs>
          <w:tab w:val="left" w:pos="7040"/>
        </w:tabs>
        <w:spacing w:line="480" w:lineRule="auto"/>
        <w:jc w:val="both"/>
        <w:rPr>
          <w:rFonts w:ascii="Times New Roman" w:hAnsi="Times New Roman" w:cs="Times New Roman"/>
          <w:b/>
          <w:sz w:val="24"/>
          <w:szCs w:val="24"/>
        </w:rPr>
      </w:pPr>
    </w:p>
    <w:p w14:paraId="789C39AD">
      <w:pPr>
        <w:tabs>
          <w:tab w:val="left" w:pos="7040"/>
        </w:tabs>
        <w:spacing w:line="480" w:lineRule="auto"/>
        <w:jc w:val="both"/>
        <w:rPr>
          <w:rFonts w:ascii="Times New Roman" w:hAnsi="Times New Roman" w:cs="Times New Roman"/>
          <w:b/>
          <w:sz w:val="24"/>
          <w:szCs w:val="24"/>
        </w:rPr>
      </w:pPr>
    </w:p>
    <w:p w14:paraId="614A72B4">
      <w:pPr>
        <w:tabs>
          <w:tab w:val="left" w:pos="7040"/>
        </w:tabs>
        <w:spacing w:line="480" w:lineRule="auto"/>
        <w:jc w:val="both"/>
        <w:rPr>
          <w:rFonts w:ascii="Times New Roman" w:hAnsi="Times New Roman" w:cs="Times New Roman"/>
          <w:b/>
          <w:sz w:val="24"/>
          <w:szCs w:val="24"/>
        </w:rPr>
      </w:pPr>
    </w:p>
    <w:p w14:paraId="36CE7788">
      <w:pPr>
        <w:tabs>
          <w:tab w:val="left" w:pos="7040"/>
        </w:tabs>
        <w:spacing w:line="480" w:lineRule="auto"/>
        <w:jc w:val="both"/>
        <w:rPr>
          <w:rFonts w:ascii="Times New Roman" w:hAnsi="Times New Roman" w:cs="Times New Roman"/>
          <w:b/>
          <w:sz w:val="24"/>
          <w:szCs w:val="24"/>
        </w:rPr>
      </w:pPr>
    </w:p>
    <w:p w14:paraId="746A6F04">
      <w:pPr>
        <w:tabs>
          <w:tab w:val="left" w:pos="7040"/>
        </w:tabs>
        <w:spacing w:line="480" w:lineRule="auto"/>
        <w:jc w:val="both"/>
        <w:rPr>
          <w:rFonts w:ascii="Times New Roman" w:hAnsi="Times New Roman" w:cs="Times New Roman"/>
          <w:b/>
          <w:sz w:val="24"/>
          <w:szCs w:val="24"/>
        </w:rPr>
      </w:pPr>
      <w:bookmarkStart w:id="0" w:name="_GoBack"/>
      <w:bookmarkEnd w:id="0"/>
      <w:r>
        <w:rPr>
          <w:rFonts w:ascii="Times New Roman" w:hAnsi="Times New Roman" w:cs="Times New Roman"/>
          <w:b/>
          <w:sz w:val="24"/>
          <w:szCs w:val="24"/>
        </w:rPr>
        <w:t>References</w:t>
      </w:r>
      <w:r>
        <w:rPr>
          <w:rFonts w:ascii="Times New Roman" w:hAnsi="Times New Roman" w:cs="Times New Roman"/>
          <w:b/>
          <w:sz w:val="24"/>
          <w:szCs w:val="24"/>
        </w:rPr>
        <w:tab/>
      </w:r>
    </w:p>
    <w:p w14:paraId="77B129FF">
      <w:pPr>
        <w:tabs>
          <w:tab w:val="left" w:pos="7040"/>
        </w:tabs>
        <w:spacing w:line="480" w:lineRule="auto"/>
        <w:jc w:val="both"/>
      </w:pPr>
      <w:r>
        <w:t xml:space="preserve">Aderemi, A., &amp; Falade, T. (2012). Environmental and health concerns associated with the open dumping of municipal solid waste: A Lagos, Nigeria experience. </w:t>
      </w:r>
      <w:r>
        <w:rPr>
          <w:rStyle w:val="8"/>
        </w:rPr>
        <w:t>American Journal of Environmental Engineering, 2</w:t>
      </w:r>
      <w:r>
        <w:t>(6), 160–165. https://doi.org/10.5923/j.ajee.20120206.03</w:t>
      </w:r>
    </w:p>
    <w:p w14:paraId="7145AD35">
      <w:pPr>
        <w:pStyle w:val="6"/>
        <w:spacing w:line="480" w:lineRule="auto"/>
        <w:jc w:val="both"/>
      </w:pPr>
      <w:r>
        <w:t xml:space="preserve">Adepoju, A. A., &amp; Salimonu, K. K. (2010). Household willingness to pay for improved solid waste management in Osun State, Nigeria. </w:t>
      </w:r>
      <w:r>
        <w:rPr>
          <w:rStyle w:val="8"/>
        </w:rPr>
        <w:t>International Journal of Public Sector Development.</w:t>
      </w:r>
    </w:p>
    <w:p w14:paraId="353A110F">
      <w:pPr>
        <w:pStyle w:val="6"/>
        <w:spacing w:line="480" w:lineRule="auto"/>
        <w:jc w:val="both"/>
      </w:pPr>
      <w:r>
        <w:t xml:space="preserve">Ebo, P. (2026). Household waste management, community behavior, and sustainability challenges in urban areas. </w:t>
      </w:r>
      <w:r>
        <w:rPr>
          <w:rStyle w:val="8"/>
        </w:rPr>
        <w:t>Waste, Society and Sustainability, 3</w:t>
      </w:r>
      <w:r>
        <w:t>(1), 1–16. https://doi.org/10.61511/wass.v3i1.2026.2513</w:t>
      </w:r>
    </w:p>
    <w:p w14:paraId="16EF8A06">
      <w:pPr>
        <w:pStyle w:val="6"/>
        <w:spacing w:line="480" w:lineRule="auto"/>
        <w:jc w:val="both"/>
      </w:pPr>
      <w:r>
        <w:t xml:space="preserve">Fewtrell, L., Kaufmann, R. B., Kay, D., Enanoria, W., Haller, L., &amp; Colford, J. M. (2005). Water, sanitation, and hygiene interventions to reduce diarrhoea in less developed countries: A systematic review and meta-analysis. </w:t>
      </w:r>
      <w:r>
        <w:rPr>
          <w:rStyle w:val="8"/>
        </w:rPr>
        <w:t>The Lancet Infectious Diseases, 5</w:t>
      </w:r>
      <w:r>
        <w:t>(1), 42–52. https://doi.org/10.1016/S1473-3099(04)01253-8</w:t>
      </w:r>
    </w:p>
    <w:p w14:paraId="6B180057">
      <w:pPr>
        <w:pStyle w:val="6"/>
        <w:spacing w:line="480" w:lineRule="auto"/>
        <w:jc w:val="both"/>
      </w:pPr>
      <w:r>
        <w:t xml:space="preserve">Ichipi, E. B., &amp; Senekane, M. F. (2023). An evaluation of the impact of illegal dumping of solid waste on public health in Nigeria: A case study of Lagos State. </w:t>
      </w:r>
      <w:r>
        <w:rPr>
          <w:rStyle w:val="8"/>
        </w:rPr>
        <w:t>International Journal of Environmental Research and Public Health, 20</w:t>
      </w:r>
      <w:r>
        <w:t>(22), 7069. https://doi.org/10.3390/ijerph20227069</w:t>
      </w:r>
    </w:p>
    <w:p w14:paraId="4C3C4AAA">
      <w:pPr>
        <w:pStyle w:val="6"/>
        <w:spacing w:line="480" w:lineRule="auto"/>
        <w:jc w:val="both"/>
      </w:pPr>
      <w:r>
        <w:t xml:space="preserve">National Population Commission. (2006). </w:t>
      </w:r>
      <w:r>
        <w:rPr>
          <w:rStyle w:val="8"/>
        </w:rPr>
        <w:t>2006 Population and housing census enumerator’s manual.</w:t>
      </w:r>
      <w:r>
        <w:t xml:space="preserve"> Federal Republic of Nigeria.</w:t>
      </w:r>
    </w:p>
    <w:p w14:paraId="45D5BB68">
      <w:pPr>
        <w:pStyle w:val="6"/>
        <w:spacing w:line="480" w:lineRule="auto"/>
        <w:jc w:val="both"/>
      </w:pPr>
      <w:r>
        <w:t xml:space="preserve">Olagoke-Salami, S. O., &amp; Odunnaike, J. S. (2019). Perceived impact of indiscriminate dumping and management of solid waste on real estate values in Egbeda Local Government. </w:t>
      </w:r>
      <w:r>
        <w:rPr>
          <w:rStyle w:val="8"/>
        </w:rPr>
        <w:t>Ilaro Journal of Environmental Research and Development, 3</w:t>
      </w:r>
      <w:r>
        <w:t>(1), 94–101.</w:t>
      </w:r>
    </w:p>
    <w:p w14:paraId="4FEB61F7">
      <w:pPr>
        <w:pStyle w:val="6"/>
        <w:spacing w:line="480" w:lineRule="auto"/>
        <w:jc w:val="both"/>
      </w:pPr>
      <w:r>
        <w:t xml:space="preserve">Oyelola, O., &amp; Babatunde, A. (2008). Characterization of domestic and market solid wastes at source in Lagos Metropolis, Nigeria. </w:t>
      </w:r>
      <w:r>
        <w:rPr>
          <w:rStyle w:val="8"/>
        </w:rPr>
        <w:t>African Journal of Environmental Science and Technology.</w:t>
      </w:r>
    </w:p>
    <w:p w14:paraId="462869FB">
      <w:pPr>
        <w:pStyle w:val="6"/>
        <w:spacing w:line="480" w:lineRule="auto"/>
        <w:jc w:val="both"/>
      </w:pPr>
      <w:r>
        <w:t xml:space="preserve">Tweneboah Kodua, T., &amp; Asomanin Anaman, K. (2020). Indiscriminate open space solid waste dumping behaviour of householders in the Brong-Ahafo region of Ghana: A political economy analysis. </w:t>
      </w:r>
      <w:r>
        <w:rPr>
          <w:rStyle w:val="8"/>
        </w:rPr>
        <w:t>Cogent Environmental Science, 6</w:t>
      </w:r>
      <w:r>
        <w:t>(1), 1779553. https://doi.org/10.1080/23311843.2020.1779553</w:t>
      </w:r>
    </w:p>
    <w:p w14:paraId="49631D07">
      <w:pPr>
        <w:pStyle w:val="6"/>
        <w:spacing w:line="480" w:lineRule="auto"/>
        <w:jc w:val="both"/>
      </w:pPr>
      <w:r>
        <w:t xml:space="preserve">Uba, U. J., Efut, E. N., Bassey Obeten, U., Asuquo, E. T., &amp; Uba, J. C. (2023). Sociodemographic factors and environmental workers’ knowledge of the impact of awareness creation on sustainable disposal of solid wastes. </w:t>
      </w:r>
      <w:r>
        <w:rPr>
          <w:rStyle w:val="8"/>
        </w:rPr>
        <w:t>Heliyon, 9</w:t>
      </w:r>
      <w:r>
        <w:t>(9), e18122. https://doi.org/10.1016/j.heliyon.2023.e18122</w:t>
      </w:r>
    </w:p>
    <w:p w14:paraId="131622AD">
      <w:pPr>
        <w:tabs>
          <w:tab w:val="left" w:pos="7040"/>
        </w:tabs>
        <w:spacing w:line="480" w:lineRule="auto"/>
        <w:jc w:val="both"/>
        <w:rPr>
          <w:rFonts w:ascii="Times New Roman" w:hAnsi="Times New Roman" w:cs="Times New Roman"/>
          <w:sz w:val="24"/>
          <w:szCs w:val="24"/>
          <w:shd w:val="clear" w:color="auto" w:fill="FFFFFF"/>
        </w:rPr>
      </w:pPr>
    </w:p>
    <w:sectPr>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0000000000000000000"/>
    <w:charset w:val="86"/>
    <w:family w:val="auto"/>
    <w:pitch w:val="default"/>
    <w:sig w:usb0="00000000" w:usb1="00000000" w:usb2="00000000" w:usb3="00000000" w:csb0="00000000" w:csb1="00000000"/>
  </w:font>
  <w:font w:name="Wingdings">
    <w:altName w:val="Wingdings"/>
    <w:panose1 w:val="05000000000000000000"/>
    <w:charset w:val="00"/>
    <w:family w:val="auto"/>
    <w:pitch w:val="default"/>
    <w:sig w:usb0="00000000" w:usb1="10000000" w:usb2="00000000" w:usb3="00000000" w:csb0="80000000" w:csb1="00000000"/>
  </w:font>
  <w:font w:name="Arial">
    <w:altName w:val="Arial"/>
    <w:panose1 w:val="020B0604020202020204"/>
    <w:charset w:val="00"/>
    <w:family w:val="swiss"/>
    <w:pitch w:val="default"/>
    <w:sig w:usb0="20007A87" w:usb1="80000000" w:usb2="00000008" w:usb3="00000000" w:csb0="000001FF" w:csb1="00000000"/>
  </w:font>
  <w:font w:name="黑体">
    <w:altName w:val="SimHei"/>
    <w:panose1 w:val="02010600030101010101"/>
    <w:charset w:val="00"/>
    <w:family w:val="auto"/>
    <w:pitch w:val="default"/>
    <w:sig w:usb0="00000001" w:usb1="080E0000" w:usb2="00000010" w:usb3="00000000" w:csb0="00040000" w:csb1="00000000"/>
  </w:font>
  <w:font w:name="Courier New">
    <w:altName w:val="Courier New"/>
    <w:panose1 w:val="02070309020205020404"/>
    <w:charset w:val="00"/>
    <w:family w:val="modern"/>
    <w:pitch w:val="default"/>
    <w:sig w:usb0="20007A87" w:usb1="80000000" w:usb2="00000008" w:usb3="00000000" w:csb0="000001FF" w:csb1="00000000"/>
  </w:font>
  <w:font w:name="Cambria">
    <w:panose1 w:val="02040503050406030204"/>
    <w:charset w:val="00"/>
    <w:family w:val="roman"/>
    <w:pitch w:val="default"/>
    <w:sig w:usb0="00000000" w:usb1="00000000" w:usb2="00000000" w:usb3="00000000" w:csb0="0000019F" w:csb1="00000000"/>
  </w:font>
  <w:font w:name="Calibri">
    <w:panose1 w:val="020F0502020204030204"/>
    <w:charset w:val="00"/>
    <w:family w:val="swiss"/>
    <w:pitch w:val="default"/>
    <w:sig w:usb0="00000000" w:usb1="00000000" w:usb2="00000001" w:usb3="00000000" w:csb0="0000019F" w:csb1="00000000"/>
  </w:font>
  <w:font w:name="Symbol">
    <w:panose1 w:val="05050102010706020507"/>
    <w:charset w:val="02"/>
    <w:family w:val="roman"/>
    <w:pitch w:val="default"/>
    <w:sig w:usb0="00000000" w:usb1="00000000" w:usb2="00000000" w:usb3="00000000" w:csb0="80000000" w:csb1="00000000"/>
  </w:font>
  <w:font w:name="Tahoma">
    <w:panose1 w:val="020B0604030504040204"/>
    <w:charset w:val="00"/>
    <w:family w:val="swiss"/>
    <w:pitch w:val="default"/>
    <w:sig w:usb0="00000000" w:usb1="00000000" w:usb2="00000029" w:usb3="00000000" w:csb0="000101FF" w:csb1="00000000"/>
  </w:font>
  <w:font w:name="SimSun">
    <w:altName w:val="宋体"/>
    <w:panose1 w:val="02010600030101010101"/>
    <w:charset w:val="86"/>
    <w:family w:val="auto"/>
    <w:pitch w:val="default"/>
    <w:sig w:usb0="00000000" w:usb1="00000000" w:usb2="00000016" w:usb3="00000000" w:csb0="00040001" w:csb1="00000000"/>
  </w:font>
  <w:font w:name="Cambria Math">
    <w:panose1 w:val="02040503050406030204"/>
    <w:charset w:val="00"/>
    <w:family w:val="roman"/>
    <w:pitch w:val="default"/>
    <w:sig w:usb0="00000000" w:usb1="00000000" w:usb2="02000000" w:usb3="00000000" w:csb0="0000019F" w:csb1="00000000"/>
  </w:font>
  <w:font w:name="DejaVu Math TeX Gyre">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6075CD"/>
    <w:multiLevelType w:val="multilevel"/>
    <w:tmpl w:val="136075CD"/>
    <w:lvl w:ilvl="0" w:tentative="0">
      <w:start w:val="1"/>
      <w:numFmt w:val="decimal"/>
      <w:lvlText w:val="%1."/>
      <w:lvlJc w:val="left"/>
      <w:pPr>
        <w:ind w:left="360" w:hanging="360"/>
      </w:pPr>
      <w:rPr>
        <w:rFonts w:hint="default" w:ascii="Times New Roman" w:hAnsi="Times New Roman" w:cs="Times New Roman"/>
        <w:color w:val="auto"/>
        <w:sz w:val="24"/>
      </w:r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1">
    <w:nsid w:val="16451ADB"/>
    <w:multiLevelType w:val="multilevel"/>
    <w:tmpl w:val="16451ADB"/>
    <w:lvl w:ilvl="0" w:tentative="0">
      <w:start w:val="1"/>
      <w:numFmt w:val="lowerRoman"/>
      <w:lvlText w:val="%1."/>
      <w:lvlJc w:val="right"/>
      <w:pPr>
        <w:ind w:left="720" w:hanging="360"/>
      </w:pPr>
      <w:rPr>
        <w:rFonts w:hint="default"/>
        <w:color w:val="auto"/>
        <w:sz w:val="24"/>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3C14153F"/>
    <w:multiLevelType w:val="multilevel"/>
    <w:tmpl w:val="3C14153F"/>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6AA981E2"/>
    <w:multiLevelType w:val="multilevel"/>
    <w:tmpl w:val="6AA981E2"/>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7F9F5B91"/>
    <w:multiLevelType w:val="multilevel"/>
    <w:tmpl w:val="7F9F5B91"/>
    <w:lvl w:ilvl="0" w:tentative="0">
      <w:start w:val="1"/>
      <w:numFmt w:val="decimal"/>
      <w:lvlText w:val="%1."/>
      <w:lvlJc w:val="left"/>
      <w:pPr>
        <w:ind w:left="360" w:hanging="360"/>
      </w:pPr>
      <w:rPr>
        <w:rFonts w:hint="default"/>
        <w:b/>
        <w:color w:val="auto"/>
      </w:r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GB" w:eastAsia="en-US" w:bidi="ar-SA"/>
    </w:rPr>
  </w:style>
  <w:style w:type="paragraph" w:styleId="2">
    <w:name w:val="heading 1"/>
    <w:basedOn w:val="1"/>
    <w:next w:val="1"/>
    <w:link w:val="16"/>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link w:val="17"/>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14"/>
    <w:qFormat/>
    <w:uiPriority w:val="9"/>
    <w:pPr>
      <w:spacing w:before="100" w:beforeAutospacing="1" w:after="100" w:afterAutospacing="1" w:line="240" w:lineRule="auto"/>
      <w:outlineLvl w:val="2"/>
    </w:pPr>
    <w:rPr>
      <w:rFonts w:ascii="Times New Roman" w:hAnsi="Times New Roman" w:eastAsia="Times New Roman" w:cs="Times New Roman"/>
      <w:b/>
      <w:bCs/>
      <w:sz w:val="27"/>
      <w:szCs w:val="27"/>
      <w:lang w:eastAsia="en-GB"/>
    </w:rPr>
  </w:style>
  <w:style w:type="character" w:default="1" w:styleId="7">
    <w:name w:val="Default Paragraph Font"/>
    <w:unhideWhenUsed/>
    <w:uiPriority w:val="1"/>
  </w:style>
  <w:style w:type="table" w:default="1" w:styleId="11">
    <w:name w:val="Normal Table"/>
    <w:unhideWhenUsed/>
    <w:uiPriority w:val="99"/>
    <w:tblPr>
      <w:tblLayout w:type="fixed"/>
      <w:tblCellMar>
        <w:top w:w="0" w:type="dxa"/>
        <w:left w:w="108" w:type="dxa"/>
        <w:bottom w:w="0" w:type="dxa"/>
        <w:right w:w="108" w:type="dxa"/>
      </w:tblCellMar>
    </w:tblPr>
  </w:style>
  <w:style w:type="paragraph" w:styleId="5">
    <w:name w:val="Balloon Text"/>
    <w:basedOn w:val="1"/>
    <w:link w:val="15"/>
    <w:unhideWhenUsed/>
    <w:uiPriority w:val="99"/>
    <w:pPr>
      <w:spacing w:after="0" w:line="240" w:lineRule="auto"/>
    </w:pPr>
    <w:rPr>
      <w:rFonts w:ascii="Tahoma" w:hAnsi="Tahoma" w:cs="Tahoma"/>
      <w:sz w:val="16"/>
      <w:szCs w:val="16"/>
    </w:rPr>
  </w:style>
  <w:style w:type="paragraph" w:styleId="6">
    <w:name w:val="Normal (Web)"/>
    <w:basedOn w:val="1"/>
    <w:unhideWhenUsed/>
    <w:uiPriority w:val="99"/>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8">
    <w:name w:val="Emphasis"/>
    <w:basedOn w:val="7"/>
    <w:qFormat/>
    <w:uiPriority w:val="20"/>
    <w:rPr>
      <w:i/>
      <w:iCs/>
    </w:rPr>
  </w:style>
  <w:style w:type="character" w:styleId="9">
    <w:name w:val="Hyperlink"/>
    <w:basedOn w:val="7"/>
    <w:unhideWhenUsed/>
    <w:uiPriority w:val="99"/>
    <w:rPr>
      <w:color w:val="0000FF"/>
      <w:u w:val="single"/>
    </w:rPr>
  </w:style>
  <w:style w:type="character" w:styleId="10">
    <w:name w:val="Strong"/>
    <w:basedOn w:val="7"/>
    <w:qFormat/>
    <w:uiPriority w:val="22"/>
    <w:rPr>
      <w:b/>
      <w:bCs/>
    </w:rPr>
  </w:style>
  <w:style w:type="table" w:styleId="12">
    <w:name w:val="Table Grid"/>
    <w:basedOn w:val="11"/>
    <w:uiPriority w:val="59"/>
    <w:pPr>
      <w:spacing w:after="0" w:line="240" w:lineRule="auto"/>
    </w:pPr>
    <w:rPr>
      <w:rFonts w:ascii="Calibri" w:hAnsi="Calibri" w:eastAsia="Calibri" w:cs="SimSun"/>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13">
    <w:name w:val="List Paragraph"/>
    <w:basedOn w:val="1"/>
    <w:qFormat/>
    <w:uiPriority w:val="34"/>
    <w:pPr>
      <w:ind w:left="720"/>
      <w:contextualSpacing/>
    </w:pPr>
  </w:style>
  <w:style w:type="character" w:customStyle="1" w:styleId="14">
    <w:name w:val="Heading 3 Char"/>
    <w:basedOn w:val="7"/>
    <w:link w:val="4"/>
    <w:uiPriority w:val="9"/>
    <w:rPr>
      <w:rFonts w:ascii="Times New Roman" w:hAnsi="Times New Roman" w:eastAsia="Times New Roman" w:cs="Times New Roman"/>
      <w:b/>
      <w:bCs/>
      <w:sz w:val="27"/>
      <w:szCs w:val="27"/>
      <w:lang w:eastAsia="en-GB"/>
    </w:rPr>
  </w:style>
  <w:style w:type="character" w:customStyle="1" w:styleId="15">
    <w:name w:val="Balloon Text Char"/>
    <w:basedOn w:val="7"/>
    <w:link w:val="5"/>
    <w:semiHidden/>
    <w:uiPriority w:val="99"/>
    <w:rPr>
      <w:rFonts w:ascii="Tahoma" w:hAnsi="Tahoma" w:cs="Tahoma"/>
      <w:sz w:val="16"/>
      <w:szCs w:val="16"/>
    </w:rPr>
  </w:style>
  <w:style w:type="character" w:customStyle="1" w:styleId="16">
    <w:name w:val="Heading 1 Char"/>
    <w:basedOn w:val="7"/>
    <w:link w:val="2"/>
    <w:uiPriority w:val="9"/>
    <w:rPr>
      <w:rFonts w:asciiTheme="majorHAnsi" w:hAnsiTheme="majorHAnsi" w:eastAsiaTheme="majorEastAsia" w:cstheme="majorBidi"/>
      <w:b/>
      <w:bCs/>
      <w:color w:val="376092" w:themeColor="accent1" w:themeShade="BF"/>
      <w:sz w:val="28"/>
      <w:szCs w:val="28"/>
    </w:rPr>
  </w:style>
  <w:style w:type="character" w:customStyle="1" w:styleId="17">
    <w:name w:val="Heading 2 Char"/>
    <w:basedOn w:val="7"/>
    <w:link w:val="3"/>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8">
    <w:name w:val="katex-mathml"/>
    <w:basedOn w:val="7"/>
    <w:uiPriority w:val="0"/>
  </w:style>
  <w:style w:type="character" w:customStyle="1" w:styleId="19">
    <w:name w:val="mord"/>
    <w:basedOn w:val="7"/>
    <w:uiPriority w:val="0"/>
  </w:style>
  <w:style w:type="character" w:customStyle="1" w:styleId="20">
    <w:name w:val="mrel"/>
    <w:basedOn w:val="7"/>
    <w:uiPriority w:val="0"/>
  </w:style>
  <w:style w:type="character" w:customStyle="1" w:styleId="21">
    <w:name w:val="mopen"/>
    <w:basedOn w:val="7"/>
    <w:uiPriority w:val="0"/>
  </w:style>
  <w:style w:type="character" w:customStyle="1" w:styleId="22">
    <w:name w:val="mbin"/>
    <w:basedOn w:val="7"/>
    <w:uiPriority w:val="0"/>
  </w:style>
  <w:style w:type="character" w:customStyle="1" w:styleId="23">
    <w:name w:val="mclose"/>
    <w:basedOn w:val="7"/>
    <w:uiPriority w:val="0"/>
  </w:style>
  <w:style w:type="character" w:customStyle="1" w:styleId="24">
    <w:name w:val="vlist-s"/>
    <w:basedOn w:val="7"/>
    <w:uiPriority w:val="0"/>
  </w:style>
  <w:style w:type="character" w:customStyle="1" w:styleId="25">
    <w:name w:val="mpunct"/>
    <w:basedOn w:val="7"/>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2269</Words>
  <Characters>12934</Characters>
  <Lines>107</Lines>
  <Paragraphs>30</Paragraphs>
  <TotalTime>0</TotalTime>
  <ScaleCrop>false</ScaleCrop>
  <LinksUpToDate>false</LinksUpToDate>
  <CharactersWithSpaces>15173</CharactersWithSpaces>
  <Application>WPS Office_0.0.0.0_F1E327BC-269C-435d-A152-05C5408002CA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2026-05-28T21:53:00Z</dcterms:created>
  <dc:creator>Geraldine</dc:creator>
  <cp:lastModifiedBy>iPhone</cp:lastModifiedBy>
  <dcterms:modified xsi:type="dcterms:W3CDTF">2026-09-15T18:35:12Z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0CE73F9FA908F81FD081A96AB9942AA1_33</vt:lpwstr>
  </property>
  <property fmtid="{D5CDD505-2E9C-101B-9397-08002B2CF9AE}" pid="3" name="KSOProductBuildVer">
    <vt:lpwstr>3081-26.8.0</vt:lpwstr>
  </property>
</Properties>
</file>